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rPr/>
      </w:pPr>
      <w:r w:rsidDel="00000000" w:rsidR="00000000" w:rsidRPr="00000000">
        <w:rPr>
          <w:rtl w:val="0"/>
        </w:rPr>
        <w:t xml:space="preserve">One More Episode Won’t Hurt! How Stress, Social Interaction Anxiety, and Loneliness Relate to Binge-Watching Behaviours among University Students</w:t>
      </w:r>
    </w:p>
    <w:p w:rsidR="00000000" w:rsidDel="00000000" w:rsidP="00000000" w:rsidRDefault="00000000" w:rsidRPr="00000000" w14:paraId="00000002">
      <w:pPr>
        <w:pStyle w:val="Title"/>
        <w:tabs>
          <w:tab w:val="left" w:leader="none" w:pos="284"/>
        </w:tabs>
        <w:rPr>
          <w:b w:val="0"/>
          <w:color w:val="ff0000"/>
          <w:sz w:val="22"/>
          <w:szCs w:val="22"/>
        </w:rPr>
      </w:pPr>
      <w:r w:rsidDel="00000000" w:rsidR="00000000" w:rsidRPr="00000000">
        <w:rPr>
          <w:rtl w:val="0"/>
        </w:rPr>
      </w:r>
    </w:p>
    <w:p w:rsidR="00000000" w:rsidDel="00000000" w:rsidP="00000000" w:rsidRDefault="00000000" w:rsidRPr="00000000" w14:paraId="00000003">
      <w:pPr>
        <w:pStyle w:val="Title"/>
        <w:tabs>
          <w:tab w:val="left" w:leader="none" w:pos="284"/>
        </w:tabs>
        <w:spacing w:after="0" w:lineRule="auto"/>
        <w:rPr>
          <w:b w:val="0"/>
          <w:sz w:val="22"/>
          <w:szCs w:val="22"/>
        </w:rPr>
      </w:pPr>
      <w:r w:rsidDel="00000000" w:rsidR="00000000" w:rsidRPr="00000000">
        <w:rPr>
          <w:b w:val="0"/>
          <w:sz w:val="22"/>
          <w:szCs w:val="22"/>
          <w:rtl w:val="0"/>
        </w:rPr>
        <w:t xml:space="preserve">Nurul Syafiqah Fa’im Rosli</w:t>
      </w:r>
    </w:p>
    <w:p w:rsidR="00000000" w:rsidDel="00000000" w:rsidP="00000000" w:rsidRDefault="00000000" w:rsidRPr="00000000" w14:paraId="00000004">
      <w:pPr>
        <w:rPr>
          <w:sz w:val="22"/>
          <w:szCs w:val="22"/>
        </w:rPr>
      </w:pPr>
      <w:r w:rsidDel="00000000" w:rsidR="00000000" w:rsidRPr="00000000">
        <w:rPr>
          <w:sz w:val="22"/>
          <w:szCs w:val="22"/>
          <w:rtl w:val="0"/>
        </w:rPr>
        <w:t xml:space="preserve">SOCAR Mobility Malaysia</w:t>
      </w:r>
    </w:p>
    <w:p w:rsidR="00000000" w:rsidDel="00000000" w:rsidP="00000000" w:rsidRDefault="00000000" w:rsidRPr="00000000" w14:paraId="00000005">
      <w:pPr>
        <w:rPr>
          <w:sz w:val="22"/>
          <w:szCs w:val="22"/>
        </w:rPr>
      </w:pPr>
      <w:hyperlink r:id="rId6">
        <w:r w:rsidDel="00000000" w:rsidR="00000000" w:rsidRPr="00000000">
          <w:rPr>
            <w:color w:val="000000"/>
            <w:sz w:val="22"/>
            <w:szCs w:val="22"/>
            <w:u w:val="none"/>
            <w:rtl w:val="0"/>
          </w:rPr>
          <w:t xml:space="preserve">syafiqaahrosli267@gmail.com</w:t>
        </w:r>
      </w:hyperlink>
      <w:r w:rsidDel="00000000" w:rsidR="00000000" w:rsidRPr="00000000">
        <w:rPr>
          <w:sz w:val="22"/>
          <w:szCs w:val="22"/>
          <w:rtl w:val="0"/>
        </w:rPr>
        <w:t xml:space="preserve"> </w:t>
      </w:r>
    </w:p>
    <w:p w:rsidR="00000000" w:rsidDel="00000000" w:rsidP="00000000" w:rsidRDefault="00000000" w:rsidRPr="00000000" w14:paraId="00000006">
      <w:pPr>
        <w:rPr>
          <w:sz w:val="22"/>
          <w:szCs w:val="22"/>
        </w:rPr>
      </w:pPr>
      <w:r w:rsidDel="00000000" w:rsidR="00000000" w:rsidRPr="00000000">
        <w:rPr>
          <w:sz w:val="22"/>
          <w:szCs w:val="22"/>
          <w:rtl w:val="0"/>
        </w:rPr>
        <w:t xml:space="preserve">ORCID iD</w:t>
      </w:r>
      <w:r w:rsidDel="00000000" w:rsidR="00000000" w:rsidRPr="00000000">
        <w:rPr>
          <w:b w:val="1"/>
          <w:sz w:val="22"/>
          <w:szCs w:val="22"/>
          <w:rtl w:val="0"/>
        </w:rPr>
        <w:t xml:space="preserve">: </w:t>
      </w:r>
      <w:r w:rsidDel="00000000" w:rsidR="00000000" w:rsidRPr="00000000">
        <w:rPr>
          <w:sz w:val="22"/>
          <w:szCs w:val="22"/>
          <w:rtl w:val="0"/>
        </w:rPr>
        <w:t xml:space="preserve">0009-0009-9219-9865</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Nor Diana Mohd Mahudin</w:t>
      </w:r>
    </w:p>
    <w:p w:rsidR="00000000" w:rsidDel="00000000" w:rsidP="00000000" w:rsidRDefault="00000000" w:rsidRPr="00000000" w14:paraId="00000009">
      <w:pPr>
        <w:pStyle w:val="Title"/>
        <w:tabs>
          <w:tab w:val="left" w:leader="none" w:pos="284"/>
        </w:tabs>
        <w:spacing w:after="0" w:lineRule="auto"/>
        <w:rPr>
          <w:b w:val="0"/>
          <w:sz w:val="22"/>
          <w:szCs w:val="22"/>
        </w:rPr>
      </w:pPr>
      <w:r w:rsidDel="00000000" w:rsidR="00000000" w:rsidRPr="00000000">
        <w:rPr>
          <w:b w:val="0"/>
          <w:sz w:val="22"/>
          <w:szCs w:val="22"/>
          <w:rtl w:val="0"/>
        </w:rPr>
        <w:t xml:space="preserve">International Islamic University Malaysia</w:t>
      </w:r>
    </w:p>
    <w:p w:rsidR="00000000" w:rsidDel="00000000" w:rsidP="00000000" w:rsidRDefault="00000000" w:rsidRPr="00000000" w14:paraId="0000000A">
      <w:pPr>
        <w:rPr>
          <w:sz w:val="22"/>
          <w:szCs w:val="22"/>
        </w:rPr>
      </w:pPr>
      <w:hyperlink r:id="rId7">
        <w:r w:rsidDel="00000000" w:rsidR="00000000" w:rsidRPr="00000000">
          <w:rPr>
            <w:color w:val="000000"/>
            <w:sz w:val="22"/>
            <w:szCs w:val="22"/>
            <w:u w:val="none"/>
            <w:rtl w:val="0"/>
          </w:rPr>
          <w:t xml:space="preserve">nordianamm@iium.edu.my</w:t>
        </w:r>
      </w:hyperlink>
      <w:r w:rsidDel="00000000" w:rsidR="00000000" w:rsidRPr="00000000">
        <w:rPr>
          <w:sz w:val="22"/>
          <w:szCs w:val="22"/>
          <w:rtl w:val="0"/>
        </w:rPr>
        <w:t xml:space="preserve"> </w:t>
      </w:r>
    </w:p>
    <w:p w:rsidR="00000000" w:rsidDel="00000000" w:rsidP="00000000" w:rsidRDefault="00000000" w:rsidRPr="00000000" w14:paraId="0000000B">
      <w:pPr>
        <w:rPr>
          <w:sz w:val="22"/>
          <w:szCs w:val="22"/>
        </w:rPr>
      </w:pPr>
      <w:bookmarkStart w:colFirst="0" w:colLast="0" w:name="_gjdgxs" w:id="0"/>
      <w:bookmarkEnd w:id="0"/>
      <w:r w:rsidDel="00000000" w:rsidR="00000000" w:rsidRPr="00000000">
        <w:rPr>
          <w:sz w:val="22"/>
          <w:szCs w:val="22"/>
          <w:rtl w:val="0"/>
        </w:rPr>
        <w:t xml:space="preserve">ORCID iD</w:t>
      </w:r>
      <w:r w:rsidDel="00000000" w:rsidR="00000000" w:rsidRPr="00000000">
        <w:rPr>
          <w:b w:val="1"/>
          <w:sz w:val="22"/>
          <w:szCs w:val="22"/>
          <w:rtl w:val="0"/>
        </w:rPr>
        <w:t xml:space="preserve">: </w:t>
      </w:r>
      <w:r w:rsidDel="00000000" w:rsidR="00000000" w:rsidRPr="00000000">
        <w:rPr>
          <w:sz w:val="22"/>
          <w:szCs w:val="22"/>
          <w:rtl w:val="0"/>
        </w:rPr>
        <w:t xml:space="preserve">0000-0002-7595-9852</w:t>
      </w:r>
    </w:p>
    <w:p w:rsidR="00000000" w:rsidDel="00000000" w:rsidP="00000000" w:rsidRDefault="00000000" w:rsidRPr="00000000" w14:paraId="0000000C">
      <w:pPr>
        <w:rPr>
          <w:i w:val="1"/>
          <w:sz w:val="22"/>
          <w:szCs w:val="22"/>
        </w:rPr>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588" w:top="1009" w:left="851" w:right="851" w:header="851" w:footer="851"/>
          <w:pgNumType w:start="1"/>
          <w:titlePg w:val="1"/>
        </w:sectPr>
      </w:pPr>
      <w:r w:rsidDel="00000000" w:rsidR="00000000" w:rsidRPr="00000000">
        <w:rPr>
          <w:i w:val="1"/>
          <w:sz w:val="22"/>
          <w:szCs w:val="22"/>
          <w:rtl w:val="0"/>
        </w:rPr>
        <w:t xml:space="preserve">(Corresponding author)</w:t>
      </w:r>
    </w:p>
    <w:p w:rsidR="00000000" w:rsidDel="00000000" w:rsidP="00000000" w:rsidRDefault="00000000" w:rsidRPr="00000000" w14:paraId="0000000D">
      <w:pPr>
        <w:rPr>
          <w:sz w:val="22"/>
          <w:szCs w:val="22"/>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Abstract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Evidence on the relationship between binge-watching and stress, social interaction anxiety, and loneliness among university students is still scarce and limited to a few countries; thus, the findings remain largely inconclusive. This study fills this gap by examining whether binge-watching is associated with and predicted by stress, social interaction anxiety, and loneliness. Television series viewing patterns, binge-watching behaviour, and psychological states of 149 Malaysian undergraduate students (Male = 48; Female = 101) aged 18 to 25 years were assessed through the Binge-Watching Addiction Questionnaire, the Perceived Stress Scale, the Social Interaction Anxiety Scale, and the UCLA Loneliness Scale Version 3 in a cross-sectional online survey. The results show that most participants are moderately stressed, have high social interaction anxiety, and have high levels of loneliness. Although both genders report moderate binge-watching behaviour, female students have a higher frequency of binge-watching than males. Pearson correlational analyses show that binge-watching is significantly correlated with social interaction anxiety and loneliness but not with perceived stress. In multiple regression analysis, social interaction anxiety is the single predictor of binge-watching. These findings suggest that social interaction anxiety contributes significantly to explaining the extent of binge-watching behaviour. Watching television series consecutively seems to act as a strategy to satisfy certain needs and provide gratification to the viewers, confirming the applicability of the Uses and Gratification Theory. As such, higher learning institutions may consider designing and implementing interventions that address social interaction needs in relation to excessive consumption of television shows among students.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Keywords: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binge-watching; loneliness; social interaction anxiety; stress; university students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Received</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27 June 2023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Accepted</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3 September 2023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Published</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31 January 2024</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sz w:val="22"/>
          <w:szCs w:val="22"/>
          <w:rtl w:val="0"/>
        </w:rPr>
        <w:t xml:space="preserve">Global streaming services, video-on-demand, and over-the-top platforms have witnessed an explosion in subscriptions over the past five years. Just in the first quarter of 2023, Netflix had 232.5 million subscribers (Ruby, 2023), while Amazon Prime Video had over 200 million subscribers (Georgiev, 2023</w:t>
      </w:r>
      <w:r w:rsidDel="00000000" w:rsidR="00000000" w:rsidRPr="00000000">
        <w:rPr>
          <w:sz w:val="22"/>
          <w:szCs w:val="22"/>
          <w:vertAlign w:val="superscript"/>
          <w:rtl w:val="0"/>
        </w:rPr>
        <w:t xml:space="preserve">a</w:t>
      </w:r>
      <w:r w:rsidDel="00000000" w:rsidR="00000000" w:rsidRPr="00000000">
        <w:rPr>
          <w:sz w:val="22"/>
          <w:szCs w:val="22"/>
          <w:rtl w:val="0"/>
        </w:rPr>
        <w:t xml:space="preserve">), followed by Disney+ with over 164.2 million subscribers (Georgiev, 2023</w:t>
      </w:r>
      <w:r w:rsidDel="00000000" w:rsidR="00000000" w:rsidRPr="00000000">
        <w:rPr>
          <w:sz w:val="22"/>
          <w:szCs w:val="22"/>
          <w:vertAlign w:val="superscript"/>
          <w:rtl w:val="0"/>
        </w:rPr>
        <w:t xml:space="preserve">b</w:t>
      </w:r>
      <w:r w:rsidDel="00000000" w:rsidR="00000000" w:rsidRPr="00000000">
        <w:rPr>
          <w:sz w:val="22"/>
          <w:szCs w:val="22"/>
          <w:rtl w:val="0"/>
        </w:rPr>
        <w:t xml:space="preserve">) worldwide. The release-all-at-once and catch-up service business models, along with Internet accessibility, have shifted television viewing patterns from watching one episode per sitting to several episodes continuously. This shift creates binge-watching, a phenomenon around 2011 (Starosta &amp; Izydorczyk, 2020) and has since become normalised as part of television viewing culture.</w:t>
      </w:r>
    </w:p>
    <w:p w:rsidR="00000000" w:rsidDel="00000000" w:rsidP="00000000" w:rsidRDefault="00000000" w:rsidRPr="00000000" w14:paraId="00000019">
      <w:pPr>
        <w:jc w:val="both"/>
        <w:rPr>
          <w:sz w:val="22"/>
          <w:szCs w:val="22"/>
        </w:rPr>
      </w:pPr>
      <w:r w:rsidDel="00000000" w:rsidR="00000000" w:rsidRPr="00000000">
        <w:rPr>
          <w:rtl w:val="0"/>
        </w:rPr>
      </w:r>
    </w:p>
    <w:p w:rsidR="00000000" w:rsidDel="00000000" w:rsidP="00000000" w:rsidRDefault="00000000" w:rsidRPr="00000000" w14:paraId="0000001A">
      <w:pPr>
        <w:ind w:firstLine="720"/>
        <w:jc w:val="both"/>
        <w:rPr>
          <w:sz w:val="22"/>
          <w:szCs w:val="22"/>
        </w:rPr>
      </w:pPr>
      <w:r w:rsidDel="00000000" w:rsidR="00000000" w:rsidRPr="00000000">
        <w:rPr>
          <w:sz w:val="22"/>
          <w:szCs w:val="22"/>
          <w:rtl w:val="0"/>
        </w:rPr>
        <w:t xml:space="preserve">Studies by Arend et al. (2021) and Rubenking and Bracken (2021) found that binge-watching is more apparent among young people, particularly university students. It has been reported that 89.4% of university students who participated in Merrill Jr. and Rubenking’s (2019) study deemed binge-watching to be a norm. This finding is of grave concern as treating binge-watching as a norm could make students neglect other tasks and, consequently, may justify binge-watching as a way to take a break. The obsessive nature of this behaviour may also indirectly hinder students from getting on track with their studies, which can have a greater impact on academic performance (Vaterlaus et al., 2019).</w:t>
      </w:r>
    </w:p>
    <w:p w:rsidR="00000000" w:rsidDel="00000000" w:rsidP="00000000" w:rsidRDefault="00000000" w:rsidRPr="00000000" w14:paraId="0000001B">
      <w:pPr>
        <w:ind w:firstLine="720"/>
        <w:jc w:val="both"/>
        <w:rPr>
          <w:sz w:val="22"/>
          <w:szCs w:val="22"/>
        </w:rPr>
      </w:pPr>
      <w:r w:rsidDel="00000000" w:rsidR="00000000" w:rsidRPr="00000000">
        <w:rPr>
          <w:rtl w:val="0"/>
        </w:rPr>
      </w:r>
    </w:p>
    <w:p w:rsidR="00000000" w:rsidDel="00000000" w:rsidP="00000000" w:rsidRDefault="00000000" w:rsidRPr="00000000" w14:paraId="0000001C">
      <w:pPr>
        <w:ind w:firstLine="720"/>
        <w:jc w:val="both"/>
        <w:rPr>
          <w:sz w:val="22"/>
          <w:szCs w:val="22"/>
        </w:rPr>
      </w:pPr>
      <w:r w:rsidDel="00000000" w:rsidR="00000000" w:rsidRPr="00000000">
        <w:rPr>
          <w:sz w:val="22"/>
          <w:szCs w:val="22"/>
          <w:rtl w:val="0"/>
        </w:rPr>
        <w:t xml:space="preserve">University settings have been reported to be one of the factors that promote binge-watching. For example, Vaterlaus et al. (2019) found that because students do not live with their parents, they have the freedom to marathon any shows as no one will stop them. Other motives for binge-watching include stress (Tefertiller &amp; Maxwell, 2018), seeking to escape from academic tasks (Chan et al., 2022; Halfmann &amp; Reinecke, 2021), fear of missing out (Susanno et al., 2019), impulsivity (Starosta et al., 2021), and enjoyment (Granow et al., 2018). Evidence has also shown that social anxiety (Sun &amp; Chang, 2021) and the need to relax or unwind encourage students to binge-watch (Dixit et al., 2020; Tefertiller &amp; Maxwell, 2018). Unfortunately, along with these determinants come negative consequences for university students. Such consequences range from disruption in sleep patterns and eating habits (Vaterlaus et al., 2019) to emptiness and feelings of guilt (Tefertiller &amp; Maxwell, 2018). However, the most consistent impact is represented by symptoms of addiction, including loss of control and dependency (Flayelle et al., 2019).</w:t>
      </w:r>
    </w:p>
    <w:p w:rsidR="00000000" w:rsidDel="00000000" w:rsidP="00000000" w:rsidRDefault="00000000" w:rsidRPr="00000000" w14:paraId="0000001D">
      <w:pPr>
        <w:ind w:firstLine="720"/>
        <w:jc w:val="both"/>
        <w:rPr>
          <w:sz w:val="22"/>
          <w:szCs w:val="22"/>
        </w:rPr>
      </w:pPr>
      <w:r w:rsidDel="00000000" w:rsidR="00000000" w:rsidRPr="00000000">
        <w:rPr>
          <w:rtl w:val="0"/>
        </w:rPr>
      </w:r>
    </w:p>
    <w:p w:rsidR="00000000" w:rsidDel="00000000" w:rsidP="00000000" w:rsidRDefault="00000000" w:rsidRPr="00000000" w14:paraId="0000001E">
      <w:pPr>
        <w:ind w:firstLine="720"/>
        <w:jc w:val="both"/>
        <w:rPr>
          <w:sz w:val="22"/>
          <w:szCs w:val="22"/>
        </w:rPr>
      </w:pPr>
      <w:r w:rsidDel="00000000" w:rsidR="00000000" w:rsidRPr="00000000">
        <w:rPr>
          <w:sz w:val="22"/>
          <w:szCs w:val="22"/>
          <w:rtl w:val="0"/>
        </w:rPr>
        <w:t xml:space="preserve">Since binge-watching is associated with symptoms of addiction and is influenced by various factors, it demonstrates the importance of conducting further research to understand this phenomenon. However, the majority of the available literature has looked at binge-watching using samples from university students in Australia (Horvath et al., 2017), Germany (Steinbach, 2018), the United States (Vaterlaus et al., 2019), Pakistan (Ilyas &amp; Qureshi, 2020), Poland (Starosta et al., 2021), and Taiwan (Sun &amp; Chang, 2021). Little research is available on samples from Malaysia, making the generalisation of past findings inappropriate for the Malaysian population as binge-watching patterns might differ across countries. Except for studies by Chan et al. (2022), Mahmoud and Abdul Wahab (2021), Ramayan et al. (2018), and Tengku Mohd Azzman and Abdul Manaf (2022), there is almost no other research on binge-watching available. Even then, the scope of these studies either covers motives such as entertainment, social interaction, escapism, boredom or consequences, such as interpersonal communication or parasocial interaction. Therefore, this population has not fully explored determinants like stress, social interaction anxiety, and loneliness, warranting a study to examine the binge-watching phenomenon using a sample of undergraduate university students in Malaysia. Accordingly, the following sections elaborate on the justifications for selecting these variables in this study.</w:t>
      </w:r>
    </w:p>
    <w:p w:rsidR="00000000" w:rsidDel="00000000" w:rsidP="00000000" w:rsidRDefault="00000000" w:rsidRPr="00000000" w14:paraId="0000001F">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20">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21">
      <w:pPr>
        <w:widowControl w:val="0"/>
        <w:jc w:val="both"/>
        <w:rPr>
          <w:b w:val="1"/>
          <w:strike w:val="1"/>
          <w:color w:val="000000"/>
          <w:sz w:val="22"/>
          <w:szCs w:val="22"/>
        </w:rPr>
      </w:pPr>
      <w:r w:rsidDel="00000000" w:rsidR="00000000" w:rsidRPr="00000000">
        <w:rPr>
          <w:b w:val="1"/>
          <w:color w:val="000000"/>
          <w:sz w:val="22"/>
          <w:szCs w:val="22"/>
          <w:rtl w:val="0"/>
        </w:rPr>
        <w:t xml:space="preserve">Binge-Watching: Conceptualisation, Motivations, And Consequences</w:t>
      </w:r>
      <w:r w:rsidDel="00000000" w:rsidR="00000000" w:rsidRPr="00000000">
        <w:rPr>
          <w:rtl w:val="0"/>
        </w:rPr>
      </w:r>
    </w:p>
    <w:p w:rsidR="00000000" w:rsidDel="00000000" w:rsidP="00000000" w:rsidRDefault="00000000" w:rsidRPr="00000000" w14:paraId="00000022">
      <w:pPr>
        <w:widowControl w:val="0"/>
        <w:jc w:val="both"/>
        <w:rPr>
          <w:sz w:val="22"/>
          <w:szCs w:val="22"/>
        </w:rPr>
      </w:pPr>
      <w:r w:rsidDel="00000000" w:rsidR="00000000" w:rsidRPr="00000000">
        <w:rPr>
          <w:rtl w:val="0"/>
        </w:rPr>
      </w:r>
    </w:p>
    <w:p w:rsidR="00000000" w:rsidDel="00000000" w:rsidP="00000000" w:rsidRDefault="00000000" w:rsidRPr="00000000" w14:paraId="00000023">
      <w:pPr>
        <w:widowControl w:val="0"/>
        <w:jc w:val="both"/>
        <w:rPr>
          <w:sz w:val="22"/>
          <w:szCs w:val="22"/>
        </w:rPr>
      </w:pPr>
      <w:r w:rsidDel="00000000" w:rsidR="00000000" w:rsidRPr="00000000">
        <w:rPr>
          <w:sz w:val="22"/>
          <w:szCs w:val="22"/>
          <w:rtl w:val="0"/>
        </w:rPr>
        <w:t xml:space="preserve">What constitutes binge-watching is contentious (Flayelle et al., 2020). However, the common thread in most of its definitions tends to revolve around three criteria: (i) the quantity or number of episodes or programmes watched, (ii) the nature of the content, either of the same series or miscellaneous programmes involved, and (iii) the viewing time pattern (Flayelle et al., 2020). Based on these three criteria, there is consensus to broadly define binge-watching as the practice of seeing, viewing, or consuming multiple episodes of television series consecutively at one point in time or in rapid succession (Flayelle et al., 2020; Merrill Jr &amp; Rubenking, 2019).</w:t>
      </w:r>
    </w:p>
    <w:p w:rsidR="00000000" w:rsidDel="00000000" w:rsidP="00000000" w:rsidRDefault="00000000" w:rsidRPr="00000000" w14:paraId="00000024">
      <w:pPr>
        <w:widowControl w:val="0"/>
        <w:jc w:val="both"/>
        <w:rPr>
          <w:sz w:val="22"/>
          <w:szCs w:val="22"/>
        </w:rPr>
      </w:pPr>
      <w:r w:rsidDel="00000000" w:rsidR="00000000" w:rsidRPr="00000000">
        <w:rPr>
          <w:rtl w:val="0"/>
        </w:rPr>
      </w:r>
    </w:p>
    <w:p w:rsidR="00000000" w:rsidDel="00000000" w:rsidP="00000000" w:rsidRDefault="00000000" w:rsidRPr="00000000" w14:paraId="00000025">
      <w:pPr>
        <w:widowControl w:val="0"/>
        <w:ind w:firstLine="720"/>
        <w:jc w:val="both"/>
        <w:rPr>
          <w:sz w:val="22"/>
          <w:szCs w:val="22"/>
        </w:rPr>
      </w:pPr>
      <w:r w:rsidDel="00000000" w:rsidR="00000000" w:rsidRPr="00000000">
        <w:rPr>
          <w:sz w:val="22"/>
          <w:szCs w:val="22"/>
          <w:rtl w:val="0"/>
        </w:rPr>
        <w:t xml:space="preserve">From this broad definition, Forte et al. (2021) divided it into four components covering the affective, behavioural, and cognitive aspects. The first component is craving, which addresses the affective aspect and refers to the degree of pleasure and mood during binge-watching. Meanwhile, dependency describes the inability to control binge-watching behaviour, and avoidance is a coping style characterised by the lack of awareness about binge-watching behaviour and the tendency to minimise it. Both dependency and avoidance manifest the behavioural aspect. Finally, anticipation is considered a component of the cognitive aspect of binge-watching, which relates to the implicit cognitions and executive functions that people do to search for cues related to the contents of the television series. </w:t>
      </w:r>
    </w:p>
    <w:p w:rsidR="00000000" w:rsidDel="00000000" w:rsidP="00000000" w:rsidRDefault="00000000" w:rsidRPr="00000000" w14:paraId="00000026">
      <w:pPr>
        <w:widowControl w:val="0"/>
        <w:ind w:firstLine="720"/>
        <w:jc w:val="both"/>
        <w:rPr>
          <w:sz w:val="22"/>
          <w:szCs w:val="22"/>
        </w:rPr>
      </w:pPr>
      <w:r w:rsidDel="00000000" w:rsidR="00000000" w:rsidRPr="00000000">
        <w:rPr>
          <w:rtl w:val="0"/>
        </w:rPr>
      </w:r>
    </w:p>
    <w:p w:rsidR="00000000" w:rsidDel="00000000" w:rsidP="00000000" w:rsidRDefault="00000000" w:rsidRPr="00000000" w14:paraId="00000027">
      <w:pPr>
        <w:widowControl w:val="0"/>
        <w:ind w:firstLine="720"/>
        <w:jc w:val="both"/>
        <w:rPr>
          <w:sz w:val="22"/>
          <w:szCs w:val="22"/>
        </w:rPr>
      </w:pPr>
      <w:r w:rsidDel="00000000" w:rsidR="00000000" w:rsidRPr="00000000">
        <w:rPr>
          <w:sz w:val="22"/>
          <w:szCs w:val="22"/>
          <w:rtl w:val="0"/>
        </w:rPr>
        <w:t xml:space="preserve">Starosta et al. (2021) argued that because binge-watching behaviour is highly immersive, it has the potential risk of addiction, which could lead to loss of control. The behaviour is also associated with negative psychosocial and health consequences, including stress, social isolation, and disrupted sleep patterns (Sun &amp; Chang, 2021; Vaterlaus et al., 2019). In addition, feelings of guilt and regret have been found to be an immediate experience due to the time wasted on binge-watching (Lehmkühler, 2020). Regret and guilt arise because the time was not spent doing something worthwhile. The literature on binge-watching is also inundated with its association with psychological aspects, such as depressive symptoms and impulsivity (Steins-Loeber et al., 2020), emotion (Tefertiller &amp; Maxwell, 2018), and cognitive function (Ilyas &amp; Qureshi, 2020). Vaterlaus et al. (2019) also reported that binge-watching is used as a distraction from academic responsibilities and mental health problems and contributes to an unhealthy diet, where students consume more junk food when they binge-watch.</w:t>
      </w:r>
    </w:p>
    <w:p w:rsidR="00000000" w:rsidDel="00000000" w:rsidP="00000000" w:rsidRDefault="00000000" w:rsidRPr="00000000" w14:paraId="00000028">
      <w:pPr>
        <w:widowControl w:val="0"/>
        <w:ind w:firstLine="720"/>
        <w:jc w:val="both"/>
        <w:rPr>
          <w:sz w:val="22"/>
          <w:szCs w:val="22"/>
        </w:rPr>
      </w:pPr>
      <w:r w:rsidDel="00000000" w:rsidR="00000000" w:rsidRPr="00000000">
        <w:rPr>
          <w:rtl w:val="0"/>
        </w:rPr>
      </w:r>
    </w:p>
    <w:p w:rsidR="00000000" w:rsidDel="00000000" w:rsidP="00000000" w:rsidRDefault="00000000" w:rsidRPr="00000000" w14:paraId="00000029">
      <w:pPr>
        <w:widowControl w:val="0"/>
        <w:ind w:firstLine="720"/>
        <w:jc w:val="both"/>
        <w:rPr>
          <w:sz w:val="22"/>
          <w:szCs w:val="22"/>
        </w:rPr>
      </w:pPr>
      <w:r w:rsidDel="00000000" w:rsidR="00000000" w:rsidRPr="00000000">
        <w:rPr>
          <w:sz w:val="22"/>
          <w:szCs w:val="22"/>
          <w:rtl w:val="0"/>
        </w:rPr>
        <w:t xml:space="preserve">To understand binge-watching and its consequences, the motivations or determinants that can lead to this behaviour must be examined. Studies have established that the motivations to binge-watch are driven by a multitude of factors, including entertainment, relaxation, fandom, the need to pass the time, and staying updated (Dixit et al., 2020; Panda &amp; Pandey, 2017; Pittman &amp; Sheehan, 2015; Susanno et al., 2019). People may also behave this way to seek gratification, cognitive challenges, or high-sensation experiences (Castro et al., 2021; Nanda &amp; Banerjee, 2020; Panda &amp; Pandey, 2017). Similarly, people may be driven by the need to connect socially with others and relieve stress and loneliness (Dixit et al., 2020). Another common motive for binge-watching is using it as a coping strategy to deal with negative emotions or escape from reality or boredom (Dixit et al., 2020; Pittman &amp; Sheehan, 2015; Starosta et al., 2019). </w:t>
      </w:r>
    </w:p>
    <w:p w:rsidR="00000000" w:rsidDel="00000000" w:rsidP="00000000" w:rsidRDefault="00000000" w:rsidRPr="00000000" w14:paraId="0000002A">
      <w:pPr>
        <w:widowControl w:val="0"/>
        <w:ind w:firstLine="720"/>
        <w:jc w:val="both"/>
        <w:rPr>
          <w:sz w:val="22"/>
          <w:szCs w:val="22"/>
        </w:rPr>
      </w:pPr>
      <w:r w:rsidDel="00000000" w:rsidR="00000000" w:rsidRPr="00000000">
        <w:rPr>
          <w:rtl w:val="0"/>
        </w:rPr>
      </w:r>
    </w:p>
    <w:p w:rsidR="00000000" w:rsidDel="00000000" w:rsidP="00000000" w:rsidRDefault="00000000" w:rsidRPr="00000000" w14:paraId="0000002B">
      <w:pPr>
        <w:widowControl w:val="0"/>
        <w:ind w:firstLine="720"/>
        <w:jc w:val="both"/>
        <w:rPr>
          <w:sz w:val="22"/>
          <w:szCs w:val="22"/>
        </w:rPr>
      </w:pPr>
      <w:r w:rsidDel="00000000" w:rsidR="00000000" w:rsidRPr="00000000">
        <w:rPr>
          <w:sz w:val="22"/>
          <w:szCs w:val="22"/>
          <w:rtl w:val="0"/>
        </w:rPr>
        <w:t xml:space="preserve">Given that stress, social connection or interaction, and loneliness have been identified in the literature as among the motives for binge-watching, one might hypothesise that they can significantly predict behaviour. Therefore, the roles of these variables are discussed in the following sections.</w:t>
      </w:r>
    </w:p>
    <w:p w:rsidR="00000000" w:rsidDel="00000000" w:rsidP="00000000" w:rsidRDefault="00000000" w:rsidRPr="00000000" w14:paraId="0000002C">
      <w:pPr>
        <w:widowControl w:val="0"/>
        <w:jc w:val="both"/>
        <w:rPr>
          <w:sz w:val="22"/>
          <w:szCs w:val="22"/>
        </w:rPr>
      </w:pPr>
      <w:r w:rsidDel="00000000" w:rsidR="00000000" w:rsidRPr="00000000">
        <w:rPr>
          <w:rtl w:val="0"/>
        </w:rPr>
      </w:r>
    </w:p>
    <w:p w:rsidR="00000000" w:rsidDel="00000000" w:rsidP="00000000" w:rsidRDefault="00000000" w:rsidRPr="00000000" w14:paraId="0000002D">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2E">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2F">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30">
      <w:pPr>
        <w:widowControl w:val="0"/>
        <w:jc w:val="both"/>
        <w:rPr>
          <w:b w:val="1"/>
          <w:color w:val="000000"/>
          <w:sz w:val="22"/>
          <w:szCs w:val="22"/>
        </w:rPr>
      </w:pPr>
      <w:r w:rsidDel="00000000" w:rsidR="00000000" w:rsidRPr="00000000">
        <w:rPr>
          <w:rtl w:val="0"/>
        </w:rPr>
      </w:r>
    </w:p>
    <w:p w:rsidR="00000000" w:rsidDel="00000000" w:rsidP="00000000" w:rsidRDefault="00000000" w:rsidRPr="00000000" w14:paraId="00000031">
      <w:pPr>
        <w:widowControl w:val="0"/>
        <w:jc w:val="both"/>
        <w:rPr>
          <w:b w:val="1"/>
          <w:color w:val="000000"/>
          <w:sz w:val="22"/>
          <w:szCs w:val="22"/>
        </w:rPr>
      </w:pPr>
      <w:r w:rsidDel="00000000" w:rsidR="00000000" w:rsidRPr="00000000">
        <w:rPr>
          <w:b w:val="1"/>
          <w:color w:val="000000"/>
          <w:sz w:val="22"/>
          <w:szCs w:val="22"/>
          <w:rtl w:val="0"/>
        </w:rPr>
        <w:t xml:space="preserve">Stress As A Trigger For Binge-Watching</w:t>
        <w:tab/>
      </w:r>
    </w:p>
    <w:p w:rsidR="00000000" w:rsidDel="00000000" w:rsidP="00000000" w:rsidRDefault="00000000" w:rsidRPr="00000000" w14:paraId="00000032">
      <w:pPr>
        <w:widowControl w:val="0"/>
        <w:jc w:val="both"/>
        <w:rPr>
          <w:sz w:val="22"/>
          <w:szCs w:val="22"/>
        </w:rPr>
      </w:pPr>
      <w:r w:rsidDel="00000000" w:rsidR="00000000" w:rsidRPr="00000000">
        <w:rPr>
          <w:rtl w:val="0"/>
        </w:rPr>
      </w:r>
    </w:p>
    <w:p w:rsidR="00000000" w:rsidDel="00000000" w:rsidP="00000000" w:rsidRDefault="00000000" w:rsidRPr="00000000" w14:paraId="00000033">
      <w:pPr>
        <w:widowControl w:val="0"/>
        <w:jc w:val="both"/>
        <w:rPr>
          <w:sz w:val="22"/>
          <w:szCs w:val="22"/>
        </w:rPr>
      </w:pPr>
      <w:r w:rsidDel="00000000" w:rsidR="00000000" w:rsidRPr="00000000">
        <w:rPr>
          <w:sz w:val="22"/>
          <w:szCs w:val="22"/>
          <w:rtl w:val="0"/>
        </w:rPr>
        <w:t xml:space="preserve">Stress refers to an individual's response to his or her surroundings that signal threat, followed by negative affect and physiological arousal (Folkman, 2020). This phenomenon is unavoidable for university students, especially when dealing with academic demands. In their study involving 388 university students in Malaysia, Wong et al. (2023) reported that 26.3% of the participants experienced severe and extremely severe stress. These results echo Kumaran et al.’s (2022) study, which found that 21.5% of their 384 participants had moderate to extremely severe stress. Hence, it is not surprising that Malaysian university students have higher scores for mental health problems and negative mental health attitudes when compared to their counterparts in the United Kingdom (Kotera et al., 2021).</w:t>
      </w:r>
    </w:p>
    <w:p w:rsidR="00000000" w:rsidDel="00000000" w:rsidP="00000000" w:rsidRDefault="00000000" w:rsidRPr="00000000" w14:paraId="00000034">
      <w:pPr>
        <w:widowControl w:val="0"/>
        <w:jc w:val="both"/>
        <w:rPr>
          <w:sz w:val="22"/>
          <w:szCs w:val="22"/>
        </w:rPr>
      </w:pPr>
      <w:r w:rsidDel="00000000" w:rsidR="00000000" w:rsidRPr="00000000">
        <w:rPr>
          <w:rtl w:val="0"/>
        </w:rPr>
      </w:r>
    </w:p>
    <w:p w:rsidR="00000000" w:rsidDel="00000000" w:rsidP="00000000" w:rsidRDefault="00000000" w:rsidRPr="00000000" w14:paraId="00000035">
      <w:pPr>
        <w:widowControl w:val="0"/>
        <w:ind w:firstLine="720"/>
        <w:jc w:val="both"/>
        <w:rPr>
          <w:sz w:val="22"/>
          <w:szCs w:val="22"/>
        </w:rPr>
      </w:pPr>
      <w:r w:rsidDel="00000000" w:rsidR="00000000" w:rsidRPr="00000000">
        <w:rPr>
          <w:sz w:val="22"/>
          <w:szCs w:val="22"/>
          <w:rtl w:val="0"/>
        </w:rPr>
        <w:t xml:space="preserve">Studies have shown that the root cause of stress among university students may stem from academic stress, financial issues, and poor sleep patterns (Anjali et al., 2019; Montagni et al., 2020; Norazlan et al., 2020). When students try to cope with these issues, binge-watching serves as an avoidance coping mechanism to release stress, such as by distracting them from academic tasks and having affordable, convenient, and easily accessed entertainment (Vaterlaus et al., 2019). Watching several episodes of shows has also been reported as being able to clear students' minds and offer an escape from dealing with stress (Tefertiller &amp; Maxwell, 2018). Accordingly, Halfmann and Reinecke (2021) suggested that binge-watching may be an effective source of relaxation in stressful situations, thus becoming a means to cope with negative emotional states. Granted that university students' psychological well-being is of concern due to various stressors and that binge-watching is the dominant method of coping with them, it is crucial to examine stress as a determinant of binge-watching behaviour. In line with the results of the above studies, we hypothesise that stress would predict binge-watching behaviours.</w:t>
      </w:r>
    </w:p>
    <w:p w:rsidR="00000000" w:rsidDel="00000000" w:rsidP="00000000" w:rsidRDefault="00000000" w:rsidRPr="00000000" w14:paraId="00000036">
      <w:pPr>
        <w:widowControl w:val="0"/>
        <w:jc w:val="both"/>
        <w:rPr>
          <w:sz w:val="22"/>
          <w:szCs w:val="22"/>
        </w:rPr>
      </w:pPr>
      <w:r w:rsidDel="00000000" w:rsidR="00000000" w:rsidRPr="00000000">
        <w:rPr>
          <w:rtl w:val="0"/>
        </w:rPr>
      </w:r>
    </w:p>
    <w:p w:rsidR="00000000" w:rsidDel="00000000" w:rsidP="00000000" w:rsidRDefault="00000000" w:rsidRPr="00000000" w14:paraId="00000037">
      <w:pPr>
        <w:widowControl w:val="0"/>
        <w:jc w:val="both"/>
        <w:rPr>
          <w:b w:val="1"/>
          <w:sz w:val="22"/>
          <w:szCs w:val="22"/>
        </w:rPr>
      </w:pPr>
      <w:r w:rsidDel="00000000" w:rsidR="00000000" w:rsidRPr="00000000">
        <w:rPr>
          <w:rtl w:val="0"/>
        </w:rPr>
      </w:r>
    </w:p>
    <w:p w:rsidR="00000000" w:rsidDel="00000000" w:rsidP="00000000" w:rsidRDefault="00000000" w:rsidRPr="00000000" w14:paraId="00000038">
      <w:pPr>
        <w:widowControl w:val="0"/>
        <w:jc w:val="both"/>
        <w:rPr>
          <w:b w:val="1"/>
          <w:sz w:val="22"/>
          <w:szCs w:val="22"/>
        </w:rPr>
      </w:pPr>
      <w:r w:rsidDel="00000000" w:rsidR="00000000" w:rsidRPr="00000000">
        <w:rPr>
          <w:b w:val="1"/>
          <w:sz w:val="22"/>
          <w:szCs w:val="22"/>
          <w:rtl w:val="0"/>
        </w:rPr>
        <w:t xml:space="preserve">Social Interaction Anxiety And Binge-Watching</w:t>
      </w:r>
    </w:p>
    <w:p w:rsidR="00000000" w:rsidDel="00000000" w:rsidP="00000000" w:rsidRDefault="00000000" w:rsidRPr="00000000" w14:paraId="00000039">
      <w:pPr>
        <w:widowControl w:val="0"/>
        <w:jc w:val="both"/>
        <w:rPr>
          <w:color w:val="222222"/>
          <w:sz w:val="22"/>
          <w:szCs w:val="22"/>
        </w:rPr>
      </w:pPr>
      <w:r w:rsidDel="00000000" w:rsidR="00000000" w:rsidRPr="00000000">
        <w:rPr>
          <w:rtl w:val="0"/>
        </w:rPr>
      </w:r>
    </w:p>
    <w:p w:rsidR="00000000" w:rsidDel="00000000" w:rsidP="00000000" w:rsidRDefault="00000000" w:rsidRPr="00000000" w14:paraId="0000003A">
      <w:pPr>
        <w:widowControl w:val="0"/>
        <w:jc w:val="both"/>
        <w:rPr>
          <w:color w:val="222222"/>
          <w:sz w:val="22"/>
          <w:szCs w:val="22"/>
        </w:rPr>
      </w:pPr>
      <w:r w:rsidDel="00000000" w:rsidR="00000000" w:rsidRPr="00000000">
        <w:rPr>
          <w:color w:val="222222"/>
          <w:sz w:val="22"/>
          <w:szCs w:val="22"/>
          <w:rtl w:val="0"/>
        </w:rPr>
        <w:t xml:space="preserve">Social interaction anxiety is another factor associated with binge-watching (Sun &amp; Chang, 2021). Individuals with such anxiety are characterised by avoidance of interaction and meetings and a tendency to evaluate social situations as negative, such as perceiving friendliness as being sarcastic (Vassilopoulos &amp; Banerjee, 2010). For this reason, they withdraw from social interaction. In the university population, one of the maladaptive coping strategies that students employ to combat social interaction anxiety is attaching themselves to their mobile phones. For example, Kaur et al. (2021) found that students with social interaction anxiety have a high level of nomophobia, which makes them afraid of mobile phone detachment. The fear of physical socialisation makes students glued to their mobile phones, which fosters virtual interaction.</w:t>
      </w:r>
    </w:p>
    <w:p w:rsidR="00000000" w:rsidDel="00000000" w:rsidP="00000000" w:rsidRDefault="00000000" w:rsidRPr="00000000" w14:paraId="0000003B">
      <w:pPr>
        <w:widowControl w:val="0"/>
        <w:jc w:val="both"/>
        <w:rPr>
          <w:color w:val="222222"/>
          <w:sz w:val="22"/>
          <w:szCs w:val="22"/>
        </w:rPr>
      </w:pPr>
      <w:r w:rsidDel="00000000" w:rsidR="00000000" w:rsidRPr="00000000">
        <w:rPr>
          <w:rtl w:val="0"/>
        </w:rPr>
      </w:r>
    </w:p>
    <w:p w:rsidR="00000000" w:rsidDel="00000000" w:rsidP="00000000" w:rsidRDefault="00000000" w:rsidRPr="00000000" w14:paraId="0000003C">
      <w:pPr>
        <w:widowControl w:val="0"/>
        <w:ind w:firstLine="720"/>
        <w:jc w:val="both"/>
        <w:rPr>
          <w:sz w:val="22"/>
          <w:szCs w:val="22"/>
        </w:rPr>
      </w:pPr>
      <w:r w:rsidDel="00000000" w:rsidR="00000000" w:rsidRPr="00000000">
        <w:rPr>
          <w:color w:val="222222"/>
          <w:sz w:val="22"/>
          <w:szCs w:val="22"/>
          <w:rtl w:val="0"/>
        </w:rPr>
        <w:t xml:space="preserve">A more recent study by Sun and Chang (2021) also found that those who feel anxious about physical interaction seek virtual social interaction via binge-watching. Wheeler (2015) asserted that binge-watching is one avenue that promotes virtual interaction, especially when people feel a connection or affiliation with fictional characters. Steiner and Xu (2020) reported that people marathon television and video-on-demand shows to catch up with and be a part of their social circle, knowing that new releases of popular shows will be the talk of the town. It has also been suggested that the need to fit in with social circles drives people to binge-watch  (Panda &amp; Pandey, 2017). Therefore, it is reasonable to conclude that people may binge-watch to establish virtual interaction as a substitute for physical interaction, to seek social engagement, or due to the fear of being excluded.</w:t>
      </w:r>
      <w:r w:rsidDel="00000000" w:rsidR="00000000" w:rsidRPr="00000000">
        <w:rPr>
          <w:sz w:val="22"/>
          <w:szCs w:val="22"/>
          <w:rtl w:val="0"/>
        </w:rPr>
        <w:t xml:space="preserve"> </w:t>
      </w:r>
      <w:r w:rsidDel="00000000" w:rsidR="00000000" w:rsidRPr="00000000">
        <w:rPr>
          <w:color w:val="222222"/>
          <w:sz w:val="22"/>
          <w:szCs w:val="22"/>
          <w:rtl w:val="0"/>
        </w:rPr>
        <w:t xml:space="preserve">This reasoning motivates our second hypothesis - that social interaction anxiety is associated with </w:t>
      </w:r>
      <w:r w:rsidDel="00000000" w:rsidR="00000000" w:rsidRPr="00000000">
        <w:rPr>
          <w:sz w:val="22"/>
          <w:szCs w:val="22"/>
          <w:rtl w:val="0"/>
        </w:rPr>
        <w:t xml:space="preserve">binge-watching.</w:t>
      </w:r>
    </w:p>
    <w:p w:rsidR="00000000" w:rsidDel="00000000" w:rsidP="00000000" w:rsidRDefault="00000000" w:rsidRPr="00000000" w14:paraId="0000003D">
      <w:pPr>
        <w:widowControl w:val="0"/>
        <w:ind w:firstLine="720"/>
        <w:jc w:val="both"/>
        <w:rPr>
          <w:color w:val="222222"/>
          <w:sz w:val="22"/>
          <w:szCs w:val="22"/>
        </w:rPr>
      </w:pPr>
      <w:r w:rsidDel="00000000" w:rsidR="00000000" w:rsidRPr="00000000">
        <w:rPr>
          <w:rtl w:val="0"/>
        </w:rPr>
      </w:r>
    </w:p>
    <w:p w:rsidR="00000000" w:rsidDel="00000000" w:rsidP="00000000" w:rsidRDefault="00000000" w:rsidRPr="00000000" w14:paraId="0000003E">
      <w:pPr>
        <w:widowControl w:val="0"/>
        <w:jc w:val="both"/>
        <w:rPr>
          <w:b w:val="1"/>
          <w:sz w:val="22"/>
          <w:szCs w:val="22"/>
        </w:rPr>
      </w:pPr>
      <w:r w:rsidDel="00000000" w:rsidR="00000000" w:rsidRPr="00000000">
        <w:rPr>
          <w:rtl w:val="0"/>
        </w:rPr>
      </w:r>
    </w:p>
    <w:p w:rsidR="00000000" w:rsidDel="00000000" w:rsidP="00000000" w:rsidRDefault="00000000" w:rsidRPr="00000000" w14:paraId="0000003F">
      <w:pPr>
        <w:widowControl w:val="0"/>
        <w:jc w:val="both"/>
        <w:rPr>
          <w:b w:val="1"/>
          <w:sz w:val="22"/>
          <w:szCs w:val="22"/>
        </w:rPr>
      </w:pPr>
      <w:r w:rsidDel="00000000" w:rsidR="00000000" w:rsidRPr="00000000">
        <w:rPr>
          <w:b w:val="1"/>
          <w:sz w:val="22"/>
          <w:szCs w:val="22"/>
          <w:rtl w:val="0"/>
        </w:rPr>
        <w:t xml:space="preserve">Loneliness and Binge-Watching</w:t>
      </w:r>
    </w:p>
    <w:p w:rsidR="00000000" w:rsidDel="00000000" w:rsidP="00000000" w:rsidRDefault="00000000" w:rsidRPr="00000000" w14:paraId="00000040">
      <w:pPr>
        <w:widowControl w:val="0"/>
        <w:jc w:val="both"/>
        <w:rPr>
          <w:color w:val="222222"/>
          <w:sz w:val="22"/>
          <w:szCs w:val="22"/>
        </w:rPr>
      </w:pPr>
      <w:r w:rsidDel="00000000" w:rsidR="00000000" w:rsidRPr="00000000">
        <w:rPr>
          <w:rtl w:val="0"/>
        </w:rPr>
      </w:r>
    </w:p>
    <w:p w:rsidR="00000000" w:rsidDel="00000000" w:rsidP="00000000" w:rsidRDefault="00000000" w:rsidRPr="00000000" w14:paraId="00000041">
      <w:pPr>
        <w:widowControl w:val="0"/>
        <w:jc w:val="both"/>
        <w:rPr>
          <w:color w:val="222222"/>
          <w:sz w:val="22"/>
          <w:szCs w:val="22"/>
        </w:rPr>
      </w:pPr>
      <w:r w:rsidDel="00000000" w:rsidR="00000000" w:rsidRPr="00000000">
        <w:rPr>
          <w:color w:val="222222"/>
          <w:sz w:val="22"/>
          <w:szCs w:val="22"/>
          <w:rtl w:val="0"/>
        </w:rPr>
        <w:t xml:space="preserve">There is consistent evidence linking loneliness to binge-watching, particularly among young people. Defined as a negative psychological state, such as feelings of emptiness, helplessness, and boredom that people experience when their interpersonal relationship does not reach the expected level (Kim, 2018), loneliness is a common problem among university students (Diehl et al., 2018). Some factors contributing to loneliness in this population include social anxiety, negative self-image, and homesickness (Pijpers, 2017). Digital technologies also play a role in coping with loneliness. Students who feel lonely tend to use social platforms to communicate, resulting in increased Internet usage and, eventually, addiction (Stankovska et al., 2016). Like social interaction anxiety, binge-watching also offers an escape to its viewers as a coping strategy to compensate for the lack of desired social relationships with fictional characters (Gabbiadini et al., 2021).</w:t>
      </w:r>
    </w:p>
    <w:p w:rsidR="00000000" w:rsidDel="00000000" w:rsidP="00000000" w:rsidRDefault="00000000" w:rsidRPr="00000000" w14:paraId="00000042">
      <w:pPr>
        <w:widowControl w:val="0"/>
        <w:jc w:val="both"/>
        <w:rPr>
          <w:color w:val="222222"/>
          <w:sz w:val="22"/>
          <w:szCs w:val="22"/>
        </w:rPr>
      </w:pPr>
      <w:r w:rsidDel="00000000" w:rsidR="00000000" w:rsidRPr="00000000">
        <w:rPr>
          <w:rtl w:val="0"/>
        </w:rPr>
      </w:r>
    </w:p>
    <w:p w:rsidR="00000000" w:rsidDel="00000000" w:rsidP="00000000" w:rsidRDefault="00000000" w:rsidRPr="00000000" w14:paraId="00000043">
      <w:pPr>
        <w:widowControl w:val="0"/>
        <w:ind w:firstLine="720"/>
        <w:jc w:val="both"/>
        <w:rPr>
          <w:color w:val="222222"/>
          <w:sz w:val="22"/>
          <w:szCs w:val="22"/>
        </w:rPr>
      </w:pPr>
      <w:r w:rsidDel="00000000" w:rsidR="00000000" w:rsidRPr="00000000">
        <w:rPr>
          <w:color w:val="222222"/>
          <w:sz w:val="22"/>
          <w:szCs w:val="22"/>
          <w:rtl w:val="0"/>
        </w:rPr>
        <w:t xml:space="preserve">Several studies have investigated the association between binge-watching and loneliness. For example, in their study on the role of binge-watching as a mediator between Type D personality and loneliness, Batik and Demir (2021) found that increased binge-watching decreases loneliness among individuals with Type D personality. This finding may explain why people binge-watch to cope with loneliness. Notably, this coping with loneliness through binge-watching strategy is more apparent in females than males (Starosta et al., 2019). Hence, our third hypothesis suggests that loneliness increases binge-watching behaviours.</w:t>
      </w:r>
    </w:p>
    <w:p w:rsidR="00000000" w:rsidDel="00000000" w:rsidP="00000000" w:rsidRDefault="00000000" w:rsidRPr="00000000" w14:paraId="00000044">
      <w:pPr>
        <w:widowControl w:val="0"/>
        <w:ind w:firstLine="720"/>
        <w:jc w:val="both"/>
        <w:rPr>
          <w:color w:val="222222"/>
          <w:sz w:val="22"/>
          <w:szCs w:val="22"/>
        </w:rPr>
      </w:pPr>
      <w:r w:rsidDel="00000000" w:rsidR="00000000" w:rsidRPr="00000000">
        <w:rPr>
          <w:rtl w:val="0"/>
        </w:rPr>
      </w:r>
    </w:p>
    <w:p w:rsidR="00000000" w:rsidDel="00000000" w:rsidP="00000000" w:rsidRDefault="00000000" w:rsidRPr="00000000" w14:paraId="00000045">
      <w:pPr>
        <w:widowControl w:val="0"/>
        <w:ind w:firstLine="720"/>
        <w:jc w:val="both"/>
        <w:rPr>
          <w:color w:val="222222"/>
          <w:sz w:val="22"/>
          <w:szCs w:val="22"/>
        </w:rPr>
      </w:pPr>
      <w:r w:rsidDel="00000000" w:rsidR="00000000" w:rsidRPr="00000000">
        <w:rPr>
          <w:color w:val="222222"/>
          <w:sz w:val="22"/>
          <w:szCs w:val="22"/>
          <w:rtl w:val="0"/>
        </w:rPr>
        <w:t xml:space="preserve">Based on the studies discussed above, there is little doubt that stress, social interaction anxiety, and loneliness are associated with binge-watching behaviour among university students. Therefore, it is worth investigating whether or not these relationships would also hold for Malaysian undergraduate university students. The Uses and Gratification Theory (Katz et al., 1973) suggests that people consume media, like television and the Internet, to satisfy their affective, cognitive, personal-integrative, social-integrative, and tension-release needs. If the users’ needs are fulfilled, gratification will be obtained from using the preferred media. Drawing from this theory, we argue that binge-watching is used as an avenue to gratify certain needs of the viewers, especially those who experience stress, social interaction anxiety, and loneliness. In sum, we hypothesised that determinants, such as stress, social interaction anxiety, and loneliness, may predict binge-watching behaviour among undergraduate students in order for them to obtain gratification. See Figure 1 for the conceptual framework of the study.</w:t>
      </w:r>
    </w:p>
    <w:p w:rsidR="00000000" w:rsidDel="00000000" w:rsidP="00000000" w:rsidRDefault="00000000" w:rsidRPr="00000000" w14:paraId="00000046">
      <w:pPr>
        <w:widowControl w:val="0"/>
        <w:jc w:val="both"/>
        <w:rPr>
          <w:color w:val="222222"/>
          <w:sz w:val="22"/>
          <w:szCs w:val="22"/>
        </w:rPr>
      </w:pPr>
      <w:r w:rsidDel="00000000" w:rsidR="00000000" w:rsidRPr="00000000">
        <w:rPr>
          <w:rtl w:val="0"/>
        </w:rPr>
      </w:r>
    </w:p>
    <w:p w:rsidR="00000000" w:rsidDel="00000000" w:rsidP="00000000" w:rsidRDefault="00000000" w:rsidRPr="00000000" w14:paraId="00000047">
      <w:pPr>
        <w:widowControl w:val="0"/>
        <w:jc w:val="both"/>
        <w:rPr>
          <w:sz w:val="22"/>
          <w:szCs w:val="22"/>
        </w:rPr>
      </w:pPr>
      <w:r w:rsidDel="00000000" w:rsidR="00000000" w:rsidRPr="00000000">
        <w:rPr>
          <w:rtl w:val="0"/>
        </w:rPr>
      </w:r>
    </w:p>
    <w:p w:rsidR="00000000" w:rsidDel="00000000" w:rsidP="00000000" w:rsidRDefault="00000000" w:rsidRPr="00000000" w14:paraId="00000048">
      <w:pPr>
        <w:widowControl w:val="0"/>
        <w:jc w:val="center"/>
        <w:rPr>
          <w:b w:val="1"/>
        </w:rPr>
      </w:pPr>
      <w:r w:rsidDel="00000000" w:rsidR="00000000" w:rsidRPr="00000000">
        <w:rPr>
          <w:rtl w:val="0"/>
        </w:rPr>
      </w:r>
    </w:p>
    <w:p w:rsidR="00000000" w:rsidDel="00000000" w:rsidP="00000000" w:rsidRDefault="00000000" w:rsidRPr="00000000" w14:paraId="00000049">
      <w:pPr>
        <w:widowControl w:val="0"/>
        <w:jc w:val="center"/>
        <w:rPr>
          <w:b w:val="1"/>
        </w:rPr>
      </w:pPr>
      <w:r w:rsidDel="00000000" w:rsidR="00000000" w:rsidRPr="00000000">
        <w:rPr>
          <w:rtl w:val="0"/>
        </w:rPr>
      </w:r>
    </w:p>
    <w:p w:rsidR="00000000" w:rsidDel="00000000" w:rsidP="00000000" w:rsidRDefault="00000000" w:rsidRPr="00000000" w14:paraId="0000004A">
      <w:pPr>
        <w:widowControl w:val="0"/>
        <w:jc w:val="center"/>
        <w:rPr>
          <w:b w:val="1"/>
        </w:rPr>
      </w:pPr>
      <w:r w:rsidDel="00000000" w:rsidR="00000000" w:rsidRPr="00000000">
        <w:rPr>
          <w:rtl w:val="0"/>
        </w:rPr>
      </w:r>
    </w:p>
    <w:p w:rsidR="00000000" w:rsidDel="00000000" w:rsidP="00000000" w:rsidRDefault="00000000" w:rsidRPr="00000000" w14:paraId="0000004B">
      <w:pPr>
        <w:widowControl w:val="0"/>
        <w:jc w:val="center"/>
        <w:rPr>
          <w:b w:val="1"/>
        </w:rPr>
      </w:pPr>
      <w:r w:rsidDel="00000000" w:rsidR="00000000" w:rsidRPr="00000000">
        <w:rPr>
          <w:rtl w:val="0"/>
        </w:rPr>
      </w:r>
    </w:p>
    <w:p w:rsidR="00000000" w:rsidDel="00000000" w:rsidP="00000000" w:rsidRDefault="00000000" w:rsidRPr="00000000" w14:paraId="0000004C">
      <w:pPr>
        <w:widowControl w:val="0"/>
        <w:jc w:val="center"/>
        <w:rPr>
          <w:b w:val="1"/>
        </w:rPr>
      </w:pPr>
      <w:r w:rsidDel="00000000" w:rsidR="00000000" w:rsidRPr="00000000">
        <w:rPr>
          <w:rtl w:val="0"/>
        </w:rPr>
      </w:r>
    </w:p>
    <w:p w:rsidR="00000000" w:rsidDel="00000000" w:rsidP="00000000" w:rsidRDefault="00000000" w:rsidRPr="00000000" w14:paraId="0000004D">
      <w:pPr>
        <w:widowControl w:val="0"/>
        <w:jc w:val="center"/>
        <w:rPr>
          <w:b w:val="1"/>
        </w:rPr>
      </w:pPr>
      <w:r w:rsidDel="00000000" w:rsidR="00000000" w:rsidRPr="00000000">
        <w:rPr>
          <w:rtl w:val="0"/>
        </w:rPr>
      </w:r>
    </w:p>
    <w:p w:rsidR="00000000" w:rsidDel="00000000" w:rsidP="00000000" w:rsidRDefault="00000000" w:rsidRPr="00000000" w14:paraId="0000004E">
      <w:pPr>
        <w:widowControl w:val="0"/>
        <w:jc w:val="center"/>
        <w:rPr>
          <w:b w:val="1"/>
        </w:rPr>
      </w:pPr>
      <w:r w:rsidDel="00000000" w:rsidR="00000000" w:rsidRPr="00000000">
        <w:rPr>
          <w:rtl w:val="0"/>
        </w:rPr>
      </w:r>
    </w:p>
    <w:p w:rsidR="00000000" w:rsidDel="00000000" w:rsidP="00000000" w:rsidRDefault="00000000" w:rsidRPr="00000000" w14:paraId="0000004F">
      <w:pPr>
        <w:widowControl w:val="0"/>
        <w:jc w:val="center"/>
        <w:rPr>
          <w:b w:val="1"/>
        </w:rPr>
      </w:pPr>
      <w:r w:rsidDel="00000000" w:rsidR="00000000" w:rsidRPr="00000000">
        <w:rPr>
          <w:rtl w:val="0"/>
        </w:rPr>
      </w:r>
    </w:p>
    <w:p w:rsidR="00000000" w:rsidDel="00000000" w:rsidP="00000000" w:rsidRDefault="00000000" w:rsidRPr="00000000" w14:paraId="00000050">
      <w:pPr>
        <w:widowControl w:val="0"/>
        <w:jc w:val="center"/>
        <w:rPr>
          <w:b w:val="1"/>
        </w:rPr>
      </w:pPr>
      <w:r w:rsidDel="00000000" w:rsidR="00000000" w:rsidRPr="00000000">
        <w:rPr>
          <w:rtl w:val="0"/>
        </w:rPr>
      </w:r>
    </w:p>
    <w:p w:rsidR="00000000" w:rsidDel="00000000" w:rsidP="00000000" w:rsidRDefault="00000000" w:rsidRPr="00000000" w14:paraId="00000051">
      <w:pPr>
        <w:widowControl w:val="0"/>
        <w:jc w:val="center"/>
        <w:rPr>
          <w:b w:val="1"/>
        </w:rPr>
      </w:pPr>
      <w:r w:rsidDel="00000000" w:rsidR="00000000" w:rsidRPr="00000000">
        <w:rPr>
          <w:rtl w:val="0"/>
        </w:rPr>
      </w:r>
    </w:p>
    <w:p w:rsidR="00000000" w:rsidDel="00000000" w:rsidP="00000000" w:rsidRDefault="00000000" w:rsidRPr="00000000" w14:paraId="00000052">
      <w:pPr>
        <w:widowControl w:val="0"/>
        <w:jc w:val="center"/>
        <w:rPr>
          <w:b w:val="1"/>
        </w:rPr>
      </w:pPr>
      <w:r w:rsidDel="00000000" w:rsidR="00000000" w:rsidRPr="00000000">
        <w:rPr>
          <w:rtl w:val="0"/>
        </w:rPr>
      </w:r>
    </w:p>
    <w:p w:rsidR="00000000" w:rsidDel="00000000" w:rsidP="00000000" w:rsidRDefault="00000000" w:rsidRPr="00000000" w14:paraId="00000053">
      <w:pPr>
        <w:widowControl w:val="0"/>
        <w:jc w:val="center"/>
        <w:rPr>
          <w:b w:val="1"/>
        </w:rPr>
      </w:pPr>
      <w:r w:rsidDel="00000000" w:rsidR="00000000" w:rsidRPr="00000000">
        <w:rPr>
          <w:rtl w:val="0"/>
        </w:rPr>
      </w:r>
    </w:p>
    <w:p w:rsidR="00000000" w:rsidDel="00000000" w:rsidP="00000000" w:rsidRDefault="00000000" w:rsidRPr="00000000" w14:paraId="00000054">
      <w:pPr>
        <w:widowControl w:val="0"/>
        <w:jc w:val="center"/>
        <w:rPr>
          <w:b w:val="1"/>
        </w:rPr>
      </w:pPr>
      <w:r w:rsidDel="00000000" w:rsidR="00000000" w:rsidRPr="00000000">
        <w:rPr>
          <w:rtl w:val="0"/>
        </w:rPr>
      </w:r>
    </w:p>
    <w:p w:rsidR="00000000" w:rsidDel="00000000" w:rsidP="00000000" w:rsidRDefault="00000000" w:rsidRPr="00000000" w14:paraId="00000055">
      <w:pPr>
        <w:widowControl w:val="0"/>
        <w:jc w:val="center"/>
        <w:rPr>
          <w:b w:val="1"/>
        </w:rPr>
      </w:pPr>
      <w:r w:rsidDel="00000000" w:rsidR="00000000" w:rsidRPr="00000000">
        <w:rPr>
          <w:rtl w:val="0"/>
        </w:rPr>
      </w:r>
    </w:p>
    <w:p w:rsidR="00000000" w:rsidDel="00000000" w:rsidP="00000000" w:rsidRDefault="00000000" w:rsidRPr="00000000" w14:paraId="00000056">
      <w:pPr>
        <w:widowControl w:val="0"/>
        <w:jc w:val="center"/>
        <w:rPr>
          <w:b w:val="1"/>
        </w:rPr>
      </w:pPr>
      <w:r w:rsidDel="00000000" w:rsidR="00000000" w:rsidRPr="00000000">
        <w:rPr>
          <w:rtl w:val="0"/>
        </w:rPr>
      </w:r>
    </w:p>
    <w:p w:rsidR="00000000" w:rsidDel="00000000" w:rsidP="00000000" w:rsidRDefault="00000000" w:rsidRPr="00000000" w14:paraId="00000057">
      <w:pPr>
        <w:widowControl w:val="0"/>
        <w:jc w:val="center"/>
        <w:rPr>
          <w:b w:val="1"/>
        </w:rPr>
      </w:pPr>
      <w:r w:rsidDel="00000000" w:rsidR="00000000" w:rsidRPr="00000000">
        <w:rPr>
          <w:rtl w:val="0"/>
        </w:rPr>
      </w:r>
    </w:p>
    <w:p w:rsidR="00000000" w:rsidDel="00000000" w:rsidP="00000000" w:rsidRDefault="00000000" w:rsidRPr="00000000" w14:paraId="00000058">
      <w:pPr>
        <w:widowControl w:val="0"/>
        <w:jc w:val="center"/>
        <w:rPr>
          <w:b w:val="1"/>
        </w:rPr>
      </w:pPr>
      <w:r w:rsidDel="00000000" w:rsidR="00000000" w:rsidRPr="00000000">
        <w:rPr>
          <w:rtl w:val="0"/>
        </w:rPr>
      </w:r>
    </w:p>
    <w:p w:rsidR="00000000" w:rsidDel="00000000" w:rsidP="00000000" w:rsidRDefault="00000000" w:rsidRPr="00000000" w14:paraId="00000059">
      <w:pPr>
        <w:widowControl w:val="0"/>
        <w:rPr>
          <w:b w:val="1"/>
          <w:sz w:val="22"/>
          <w:szCs w:val="22"/>
        </w:rPr>
      </w:pPr>
      <w:r w:rsidDel="00000000" w:rsidR="00000000" w:rsidRPr="00000000">
        <w:rPr>
          <w:b w:val="1"/>
          <w:sz w:val="22"/>
          <w:szCs w:val="22"/>
          <w:rtl w:val="0"/>
        </w:rPr>
        <w:t xml:space="preserve">Figure 1</w:t>
      </w:r>
    </w:p>
    <w:p w:rsidR="00000000" w:rsidDel="00000000" w:rsidP="00000000" w:rsidRDefault="00000000" w:rsidRPr="00000000" w14:paraId="0000005A">
      <w:pPr>
        <w:widowControl w:val="0"/>
        <w:rPr>
          <w:b w:val="1"/>
        </w:rPr>
      </w:pPr>
      <w:r w:rsidDel="00000000" w:rsidR="00000000" w:rsidRPr="00000000">
        <w:rPr>
          <w:rtl w:val="0"/>
        </w:rPr>
      </w:r>
    </w:p>
    <w:p w:rsidR="00000000" w:rsidDel="00000000" w:rsidP="00000000" w:rsidRDefault="00000000" w:rsidRPr="00000000" w14:paraId="0000005B">
      <w:pPr>
        <w:widowControl w:val="0"/>
        <w:rPr>
          <w:i w:val="1"/>
        </w:rPr>
      </w:pPr>
      <w:r w:rsidDel="00000000" w:rsidR="00000000" w:rsidRPr="00000000">
        <w:rPr>
          <w:i w:val="1"/>
          <w:rtl w:val="0"/>
        </w:rPr>
        <w:t xml:space="preserve">Conceptual framework for linking perceived stress, social interaction anxiety, loneliness, </w:t>
      </w:r>
    </w:p>
    <w:p w:rsidR="00000000" w:rsidDel="00000000" w:rsidP="00000000" w:rsidRDefault="00000000" w:rsidRPr="00000000" w14:paraId="0000005C">
      <w:pPr>
        <w:widowControl w:val="0"/>
        <w:rPr>
          <w:i w:val="1"/>
        </w:rPr>
      </w:pPr>
      <w:r w:rsidDel="00000000" w:rsidR="00000000" w:rsidRPr="00000000">
        <w:rPr>
          <w:i w:val="1"/>
          <w:rtl w:val="0"/>
        </w:rPr>
        <w:t xml:space="preserve">and binge-watching in Malaysian undergraduate students</w:t>
      </w:r>
    </w:p>
    <w:p w:rsidR="00000000" w:rsidDel="00000000" w:rsidP="00000000" w:rsidRDefault="00000000" w:rsidRPr="00000000" w14:paraId="0000005D">
      <w:pPr>
        <w:widowControl w:val="0"/>
        <w:jc w:val="center"/>
        <w:rPr>
          <w:color w:val="ff0000"/>
          <w:sz w:val="22"/>
          <w:szCs w:val="22"/>
        </w:rPr>
      </w:pPr>
      <w:r w:rsidDel="00000000" w:rsidR="00000000" w:rsidRPr="00000000">
        <w:rPr>
          <w:rFonts w:ascii="Arial" w:cs="Arial" w:eastAsia="Arial" w:hAnsi="Arial"/>
          <w:sz w:val="24"/>
          <w:szCs w:val="24"/>
        </w:rPr>
        <mc:AlternateContent>
          <mc:Choice Requires="wpg">
            <w:drawing>
              <wp:inline distB="0" distT="0" distL="114300" distR="114300">
                <wp:extent cx="4666615" cy="2790825"/>
                <wp:effectExtent b="0" l="0" r="0" t="0"/>
                <wp:docPr id="3" name=""/>
                <a:graphic>
                  <a:graphicData uri="http://schemas.microsoft.com/office/word/2010/wordprocessingGroup">
                    <wpg:wgp>
                      <wpg:cNvGrpSpPr/>
                      <wpg:grpSpPr>
                        <a:xfrm>
                          <a:off x="3012675" y="2384575"/>
                          <a:ext cx="4666615" cy="2790825"/>
                          <a:chOff x="3012675" y="2384575"/>
                          <a:chExt cx="4666625" cy="2790850"/>
                        </a:xfrm>
                      </wpg:grpSpPr>
                      <wpg:grpSp>
                        <wpg:cNvGrpSpPr/>
                        <wpg:grpSpPr>
                          <a:xfrm>
                            <a:off x="3012693" y="2384588"/>
                            <a:ext cx="4666600" cy="2790825"/>
                            <a:chOff x="0" y="0"/>
                            <a:chExt cx="4666600" cy="2790825"/>
                          </a:xfrm>
                        </wpg:grpSpPr>
                        <wps:wsp>
                          <wps:cNvSpPr/>
                          <wps:cNvPr id="4" name="Shape 4"/>
                          <wps:spPr>
                            <a:xfrm>
                              <a:off x="0" y="0"/>
                              <a:ext cx="4666600" cy="279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7100" y="2021518"/>
                              <a:ext cx="1579305" cy="392803"/>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Perceived stress</w:t>
                                </w:r>
                              </w:p>
                            </w:txbxContent>
                          </wps:txbx>
                          <wps:bodyPr anchorCtr="0" anchor="t" bIns="38100" lIns="88900" spcFirstLastPara="1" rIns="88900" wrap="square" tIns="38100">
                            <a:noAutofit/>
                          </wps:bodyPr>
                        </wps:wsp>
                        <wps:wsp>
                          <wps:cNvSpPr/>
                          <wps:cNvPr id="17" name="Shape 17"/>
                          <wps:spPr>
                            <a:xfrm>
                              <a:off x="1575105" y="1215810"/>
                              <a:ext cx="1207703" cy="297502"/>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Binge-watching</w:t>
                                </w:r>
                              </w:p>
                            </w:txbxContent>
                          </wps:txbx>
                          <wps:bodyPr anchorCtr="0" anchor="t" bIns="38100" lIns="88900" spcFirstLastPara="1" rIns="88900" wrap="square" tIns="38100">
                            <a:noAutofit/>
                          </wps:bodyPr>
                        </wps:wsp>
                        <wps:wsp>
                          <wps:cNvSpPr/>
                          <wps:cNvPr id="18" name="Shape 18"/>
                          <wps:spPr>
                            <a:xfrm flipH="1" rot="10800000">
                              <a:off x="826802" y="1437312"/>
                              <a:ext cx="748302" cy="583805"/>
                            </a:xfrm>
                            <a:prstGeom prst="straightConnector1">
                              <a:avLst/>
                            </a:prstGeom>
                            <a:solidFill>
                              <a:srgbClr val="FFFFFF"/>
                            </a:solidFill>
                            <a:ln cap="flat" cmpd="sng" w="1905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9" name="Shape 19"/>
                          <wps:spPr>
                            <a:xfrm>
                              <a:off x="3198110" y="2052718"/>
                              <a:ext cx="1214703" cy="388803"/>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Loneliness</w:t>
                                </w:r>
                              </w:p>
                            </w:txbxContent>
                          </wps:txbx>
                          <wps:bodyPr anchorCtr="0" anchor="t" bIns="38100" lIns="88900" spcFirstLastPara="1" rIns="88900" wrap="square" tIns="38100">
                            <a:noAutofit/>
                          </wps:bodyPr>
                        </wps:wsp>
                        <wps:wsp>
                          <wps:cNvSpPr/>
                          <wps:cNvPr id="20" name="Shape 20"/>
                          <wps:spPr>
                            <a:xfrm>
                              <a:off x="2782808" y="1437812"/>
                              <a:ext cx="874802" cy="614505"/>
                            </a:xfrm>
                            <a:prstGeom prst="straightConnector1">
                              <a:avLst/>
                            </a:prstGeom>
                            <a:solidFill>
                              <a:srgbClr val="FFFFFF"/>
                            </a:solidFill>
                            <a:ln cap="flat" cmpd="sng" w="19050">
                              <a:solidFill>
                                <a:srgbClr val="000000"/>
                              </a:solidFill>
                              <a:prstDash val="solid"/>
                              <a:miter lim="8000"/>
                              <a:headEnd len="med" w="med" type="triangle"/>
                              <a:tailEnd len="sm" w="sm" type="none"/>
                            </a:ln>
                          </wps:spPr>
                          <wps:bodyPr anchorCtr="0" anchor="ctr" bIns="91425" lIns="91425" spcFirstLastPara="1" rIns="91425" wrap="square" tIns="91425">
                            <a:noAutofit/>
                          </wps:bodyPr>
                        </wps:wsp>
                        <wps:wsp>
                          <wps:cNvSpPr/>
                          <wps:cNvPr id="21" name="Shape 21"/>
                          <wps:spPr>
                            <a:xfrm>
                              <a:off x="1275104" y="344203"/>
                              <a:ext cx="1790805" cy="308302"/>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Social interaction anxiety</w:t>
                                </w:r>
                              </w:p>
                            </w:txbxContent>
                          </wps:txbx>
                          <wps:bodyPr anchorCtr="0" anchor="t" bIns="38100" lIns="88900" spcFirstLastPara="1" rIns="88900" wrap="square" tIns="38100">
                            <a:noAutofit/>
                          </wps:bodyPr>
                        </wps:wsp>
                        <wps:wsp>
                          <wps:cNvSpPr/>
                          <wps:cNvPr id="22" name="Shape 22"/>
                          <wps:spPr>
                            <a:xfrm>
                              <a:off x="2168806" y="633305"/>
                              <a:ext cx="0" cy="611105"/>
                            </a:xfrm>
                            <a:custGeom>
                              <a:rect b="b" l="l" r="r" t="t"/>
                              <a:pathLst>
                                <a:path extrusionOk="0" h="611105" w="1">
                                  <a:moveTo>
                                    <a:pt x="0" y="0"/>
                                  </a:moveTo>
                                  <a:lnTo>
                                    <a:pt x="0" y="611105"/>
                                  </a:lnTo>
                                </a:path>
                              </a:pathLst>
                            </a:custGeom>
                            <a:solidFill>
                              <a:srgbClr val="FFFFFF"/>
                            </a:solid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666615" cy="2790825"/>
                <wp:effectExtent b="0" l="0" r="0" 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666615" cy="2790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widowControl w:val="0"/>
        <w:jc w:val="both"/>
        <w:rPr>
          <w:color w:val="222222"/>
          <w:sz w:val="22"/>
          <w:szCs w:val="22"/>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Method</w:t>
      </w:r>
    </w:p>
    <w:p w:rsidR="00000000" w:rsidDel="00000000" w:rsidP="00000000" w:rsidRDefault="00000000" w:rsidRPr="00000000" w14:paraId="00000060">
      <w:pPr>
        <w:jc w:val="both"/>
        <w:rPr>
          <w:i w:val="1"/>
          <w:sz w:val="22"/>
          <w:szCs w:val="22"/>
        </w:rPr>
      </w:pPr>
      <w:r w:rsidDel="00000000" w:rsidR="00000000" w:rsidRPr="00000000">
        <w:rPr>
          <w:rtl w:val="0"/>
        </w:rPr>
      </w:r>
    </w:p>
    <w:p w:rsidR="00000000" w:rsidDel="00000000" w:rsidP="00000000" w:rsidRDefault="00000000" w:rsidRPr="00000000" w14:paraId="00000061">
      <w:pPr>
        <w:jc w:val="both"/>
        <w:rPr>
          <w:b w:val="1"/>
          <w:sz w:val="22"/>
          <w:szCs w:val="22"/>
        </w:rPr>
      </w:pPr>
      <w:r w:rsidDel="00000000" w:rsidR="00000000" w:rsidRPr="00000000">
        <w:rPr>
          <w:b w:val="1"/>
          <w:sz w:val="22"/>
          <w:szCs w:val="22"/>
          <w:rtl w:val="0"/>
        </w:rPr>
        <w:t xml:space="preserve">Research Design</w:t>
      </w:r>
    </w:p>
    <w:p w:rsidR="00000000" w:rsidDel="00000000" w:rsidP="00000000" w:rsidRDefault="00000000" w:rsidRPr="00000000" w14:paraId="00000062">
      <w:pPr>
        <w:jc w:val="both"/>
        <w:rPr>
          <w:sz w:val="22"/>
          <w:szCs w:val="22"/>
        </w:rPr>
      </w:pPr>
      <w:r w:rsidDel="00000000" w:rsidR="00000000" w:rsidRPr="00000000">
        <w:rPr>
          <w:rtl w:val="0"/>
        </w:rPr>
      </w:r>
    </w:p>
    <w:p w:rsidR="00000000" w:rsidDel="00000000" w:rsidP="00000000" w:rsidRDefault="00000000" w:rsidRPr="00000000" w14:paraId="00000063">
      <w:pPr>
        <w:jc w:val="both"/>
        <w:rPr>
          <w:sz w:val="22"/>
          <w:szCs w:val="22"/>
        </w:rPr>
      </w:pPr>
      <w:r w:rsidDel="00000000" w:rsidR="00000000" w:rsidRPr="00000000">
        <w:rPr>
          <w:sz w:val="22"/>
          <w:szCs w:val="22"/>
          <w:rtl w:val="0"/>
        </w:rPr>
        <w:t xml:space="preserve">This study used a cross-sectional survey design with an online questionnaire to collect data. The survey was self-administered, anonymous, and completed on a voluntary basis. This design was chosen for two reasons: first, it can provide large amounts of data in an efficient and reliable way, and second, it allows participants to respond to the survey at their convenience (DeCarlo et al., 2021). The study received ethical approval from the Department of Psychology, International Islamic University Malaysia. Permission was also obtained from the respective scale developers for survey items that are not open access.</w:t>
      </w:r>
    </w:p>
    <w:p w:rsidR="00000000" w:rsidDel="00000000" w:rsidP="00000000" w:rsidRDefault="00000000" w:rsidRPr="00000000" w14:paraId="00000064">
      <w:pPr>
        <w:jc w:val="both"/>
        <w:rPr>
          <w:b w:val="1"/>
          <w:sz w:val="22"/>
          <w:szCs w:val="22"/>
        </w:rPr>
      </w:pPr>
      <w:r w:rsidDel="00000000" w:rsidR="00000000" w:rsidRPr="00000000">
        <w:rPr>
          <w:rtl w:val="0"/>
        </w:rPr>
      </w:r>
    </w:p>
    <w:p w:rsidR="00000000" w:rsidDel="00000000" w:rsidP="00000000" w:rsidRDefault="00000000" w:rsidRPr="00000000" w14:paraId="00000065">
      <w:pPr>
        <w:jc w:val="both"/>
        <w:rPr>
          <w:b w:val="1"/>
          <w:sz w:val="22"/>
          <w:szCs w:val="22"/>
        </w:rPr>
      </w:pPr>
      <w:r w:rsidDel="00000000" w:rsidR="00000000" w:rsidRPr="00000000">
        <w:rPr>
          <w:b w:val="1"/>
          <w:sz w:val="22"/>
          <w:szCs w:val="22"/>
          <w:rtl w:val="0"/>
        </w:rPr>
        <w:t xml:space="preserve">Participants And Procedure</w:t>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jc w:val="both"/>
        <w:rPr>
          <w:sz w:val="22"/>
          <w:szCs w:val="22"/>
        </w:rPr>
      </w:pPr>
      <w:r w:rsidDel="00000000" w:rsidR="00000000" w:rsidRPr="00000000">
        <w:rPr>
          <w:sz w:val="22"/>
          <w:szCs w:val="22"/>
          <w:rtl w:val="0"/>
        </w:rPr>
        <w:t xml:space="preserve">The online survey was disseminated to undergraduate students aged between 18 and 25 (</w:t>
      </w:r>
      <w:r w:rsidDel="00000000" w:rsidR="00000000" w:rsidRPr="00000000">
        <w:rPr>
          <w:i w:val="1"/>
          <w:sz w:val="22"/>
          <w:szCs w:val="22"/>
          <w:rtl w:val="0"/>
        </w:rPr>
        <w:t xml:space="preserve">M</w:t>
      </w:r>
      <w:r w:rsidDel="00000000" w:rsidR="00000000" w:rsidRPr="00000000">
        <w:rPr>
          <w:sz w:val="22"/>
          <w:szCs w:val="22"/>
          <w:rtl w:val="0"/>
        </w:rPr>
        <w:t xml:space="preserve"> = 22.52; </w:t>
      </w:r>
      <w:r w:rsidDel="00000000" w:rsidR="00000000" w:rsidRPr="00000000">
        <w:rPr>
          <w:i w:val="1"/>
          <w:sz w:val="22"/>
          <w:szCs w:val="22"/>
          <w:rtl w:val="0"/>
        </w:rPr>
        <w:t xml:space="preserve">SD</w:t>
      </w:r>
      <w:r w:rsidDel="00000000" w:rsidR="00000000" w:rsidRPr="00000000">
        <w:rPr>
          <w:sz w:val="22"/>
          <w:szCs w:val="22"/>
          <w:rtl w:val="0"/>
        </w:rPr>
        <w:t xml:space="preserve"> = 1.31) in Malaysia from April to May 2022. The sample was purposive in that the participants must fulfil the following inclusion criteria: aged between 18 and 25 years old, a Malaysian undergraduate student, and binge-watched three or more episodes of a television series in one sitting (Merril Jr &amp; Rubenking, 2019). Potential participants were targeted through advertisement posters and messages placed in various student groups, associations, and communities on social media platforms such as WhatsApp and Instagram. Individuals who responded to the posters or messages received a web link to the online survey, which described the study, the participants’ expected role, and the survey questionnaire. They were also informed about the study's aims and obtained consent before starting the survey. This approach, i.e., self-select to opt-in to the study, is used because of its low cost and ability to reach the target population (Fricker, 2016). </w:t>
      </w:r>
    </w:p>
    <w:p w:rsidR="00000000" w:rsidDel="00000000" w:rsidP="00000000" w:rsidRDefault="00000000" w:rsidRPr="00000000" w14:paraId="00000068">
      <w:pPr>
        <w:jc w:val="both"/>
        <w:rPr>
          <w:sz w:val="22"/>
          <w:szCs w:val="22"/>
        </w:rPr>
      </w:pPr>
      <w:r w:rsidDel="00000000" w:rsidR="00000000" w:rsidRPr="00000000">
        <w:rPr>
          <w:rtl w:val="0"/>
        </w:rPr>
      </w:r>
    </w:p>
    <w:p w:rsidR="00000000" w:rsidDel="00000000" w:rsidP="00000000" w:rsidRDefault="00000000" w:rsidRPr="00000000" w14:paraId="00000069">
      <w:pPr>
        <w:jc w:val="both"/>
        <w:rPr>
          <w:b w:val="1"/>
          <w:sz w:val="22"/>
          <w:szCs w:val="22"/>
        </w:rPr>
      </w:pPr>
      <w:r w:rsidDel="00000000" w:rsidR="00000000" w:rsidRPr="00000000">
        <w:rPr>
          <w:rtl w:val="0"/>
        </w:rPr>
      </w:r>
    </w:p>
    <w:p w:rsidR="00000000" w:rsidDel="00000000" w:rsidP="00000000" w:rsidRDefault="00000000" w:rsidRPr="00000000" w14:paraId="0000006A">
      <w:pPr>
        <w:jc w:val="both"/>
        <w:rPr>
          <w:b w:val="1"/>
          <w:sz w:val="22"/>
          <w:szCs w:val="22"/>
        </w:rPr>
      </w:pPr>
      <w:r w:rsidDel="00000000" w:rsidR="00000000" w:rsidRPr="00000000">
        <w:rPr>
          <w:rtl w:val="0"/>
        </w:rPr>
      </w:r>
    </w:p>
    <w:p w:rsidR="00000000" w:rsidDel="00000000" w:rsidP="00000000" w:rsidRDefault="00000000" w:rsidRPr="00000000" w14:paraId="0000006B">
      <w:pPr>
        <w:jc w:val="both"/>
        <w:rPr>
          <w:b w:val="1"/>
          <w:sz w:val="22"/>
          <w:szCs w:val="22"/>
        </w:rPr>
      </w:pPr>
      <w:r w:rsidDel="00000000" w:rsidR="00000000" w:rsidRPr="00000000">
        <w:rPr>
          <w:rtl w:val="0"/>
        </w:rPr>
      </w:r>
    </w:p>
    <w:p w:rsidR="00000000" w:rsidDel="00000000" w:rsidP="00000000" w:rsidRDefault="00000000" w:rsidRPr="00000000" w14:paraId="0000006C">
      <w:pPr>
        <w:jc w:val="both"/>
        <w:rPr>
          <w:b w:val="1"/>
          <w:sz w:val="22"/>
          <w:szCs w:val="22"/>
        </w:rPr>
      </w:pPr>
      <w:r w:rsidDel="00000000" w:rsidR="00000000" w:rsidRPr="00000000">
        <w:rPr>
          <w:rtl w:val="0"/>
        </w:rPr>
      </w:r>
    </w:p>
    <w:p w:rsidR="00000000" w:rsidDel="00000000" w:rsidP="00000000" w:rsidRDefault="00000000" w:rsidRPr="00000000" w14:paraId="0000006D">
      <w:pPr>
        <w:jc w:val="both"/>
        <w:rPr>
          <w:b w:val="1"/>
          <w:sz w:val="22"/>
          <w:szCs w:val="22"/>
          <w:u w:val="single"/>
        </w:rPr>
      </w:pPr>
      <w:r w:rsidDel="00000000" w:rsidR="00000000" w:rsidRPr="00000000">
        <w:rPr>
          <w:b w:val="1"/>
          <w:sz w:val="22"/>
          <w:szCs w:val="22"/>
          <w:rtl w:val="0"/>
        </w:rPr>
        <w:t xml:space="preserve">Measures </w:t>
      </w:r>
      <w:r w:rsidDel="00000000" w:rsidR="00000000" w:rsidRPr="00000000">
        <w:rPr>
          <w:rtl w:val="0"/>
        </w:rPr>
      </w:r>
    </w:p>
    <w:p w:rsidR="00000000" w:rsidDel="00000000" w:rsidP="00000000" w:rsidRDefault="00000000" w:rsidRPr="00000000" w14:paraId="0000006E">
      <w:pPr>
        <w:jc w:val="both"/>
        <w:rPr>
          <w:sz w:val="22"/>
          <w:szCs w:val="22"/>
        </w:rPr>
      </w:pPr>
      <w:r w:rsidDel="00000000" w:rsidR="00000000" w:rsidRPr="00000000">
        <w:rPr>
          <w:rtl w:val="0"/>
        </w:rPr>
      </w:r>
    </w:p>
    <w:p w:rsidR="00000000" w:rsidDel="00000000" w:rsidP="00000000" w:rsidRDefault="00000000" w:rsidRPr="00000000" w14:paraId="0000006F">
      <w:pPr>
        <w:jc w:val="both"/>
        <w:rPr>
          <w:sz w:val="22"/>
          <w:szCs w:val="22"/>
        </w:rPr>
      </w:pPr>
      <w:r w:rsidDel="00000000" w:rsidR="00000000" w:rsidRPr="00000000">
        <w:rPr>
          <w:sz w:val="22"/>
          <w:szCs w:val="22"/>
          <w:rtl w:val="0"/>
        </w:rPr>
        <w:t xml:space="preserve">The online survey included questions that assessed participants’ demographic characteristics, devices used to binge-watch, and time spent to binge-watch, along with four scales that measured binge-watching, stress, social interaction anxiety, and loneliness as follows:</w:t>
      </w:r>
    </w:p>
    <w:p w:rsidR="00000000" w:rsidDel="00000000" w:rsidP="00000000" w:rsidRDefault="00000000" w:rsidRPr="00000000" w14:paraId="00000070">
      <w:pPr>
        <w:jc w:val="both"/>
        <w:rPr>
          <w:sz w:val="22"/>
          <w:szCs w:val="22"/>
        </w:rPr>
      </w:pPr>
      <w:r w:rsidDel="00000000" w:rsidR="00000000" w:rsidRPr="00000000">
        <w:rPr>
          <w:rtl w:val="0"/>
        </w:rPr>
      </w:r>
    </w:p>
    <w:p w:rsidR="00000000" w:rsidDel="00000000" w:rsidP="00000000" w:rsidRDefault="00000000" w:rsidRPr="00000000" w14:paraId="00000071">
      <w:pPr>
        <w:ind w:firstLine="720"/>
        <w:jc w:val="both"/>
        <w:rPr>
          <w:sz w:val="22"/>
          <w:szCs w:val="22"/>
        </w:rPr>
      </w:pPr>
      <w:r w:rsidDel="00000000" w:rsidR="00000000" w:rsidRPr="00000000">
        <w:rPr>
          <w:i w:val="1"/>
          <w:sz w:val="22"/>
          <w:szCs w:val="22"/>
          <w:rtl w:val="0"/>
        </w:rPr>
        <w:t xml:space="preserve">Binge-watching</w:t>
      </w:r>
      <w:r w:rsidDel="00000000" w:rsidR="00000000" w:rsidRPr="00000000">
        <w:rPr>
          <w:sz w:val="22"/>
          <w:szCs w:val="22"/>
          <w:rtl w:val="0"/>
        </w:rPr>
        <w:t xml:space="preserve">: The Binge-Watching Addiction Questionnaire (Forte et al., 2021) was used to measure participants’ binge-watching behaviour. This scale has 20 items divided into four domains (i.e., craving, dependency, anticipation, and avoidance), each with a five-point Likert-response scale of 0 = never, 1 = rarely, 2 = sometimes, 3 = often, and 4 = always. Total possible scores are 0-80, with 0-26, 27-53, and 54-80 being low, moderate, and high binge-watching engagement, respectively. In this study, Cronbach’s alpha for this scale is </w:t>
      </w:r>
      <w:r w:rsidDel="00000000" w:rsidR="00000000" w:rsidRPr="00000000">
        <w:rPr>
          <w:i w:val="1"/>
          <w:sz w:val="22"/>
          <w:szCs w:val="22"/>
          <w:rtl w:val="0"/>
        </w:rPr>
        <w:t xml:space="preserve">α</w:t>
      </w:r>
      <w:r w:rsidDel="00000000" w:rsidR="00000000" w:rsidRPr="00000000">
        <w:rPr>
          <w:sz w:val="22"/>
          <w:szCs w:val="22"/>
          <w:rtl w:val="0"/>
        </w:rPr>
        <w:t xml:space="preserve"> = .89, indicating high internal consistency.</w:t>
      </w:r>
    </w:p>
    <w:p w:rsidR="00000000" w:rsidDel="00000000" w:rsidP="00000000" w:rsidRDefault="00000000" w:rsidRPr="00000000" w14:paraId="00000072">
      <w:pPr>
        <w:ind w:firstLine="720"/>
        <w:jc w:val="both"/>
        <w:rPr>
          <w:sz w:val="22"/>
          <w:szCs w:val="22"/>
        </w:rPr>
      </w:pPr>
      <w:r w:rsidDel="00000000" w:rsidR="00000000" w:rsidRPr="00000000">
        <w:rPr>
          <w:rtl w:val="0"/>
        </w:rPr>
      </w:r>
    </w:p>
    <w:p w:rsidR="00000000" w:rsidDel="00000000" w:rsidP="00000000" w:rsidRDefault="00000000" w:rsidRPr="00000000" w14:paraId="00000073">
      <w:pPr>
        <w:ind w:firstLine="720"/>
        <w:jc w:val="both"/>
        <w:rPr>
          <w:sz w:val="22"/>
          <w:szCs w:val="22"/>
        </w:rPr>
      </w:pPr>
      <w:r w:rsidDel="00000000" w:rsidR="00000000" w:rsidRPr="00000000">
        <w:rPr>
          <w:i w:val="1"/>
          <w:sz w:val="22"/>
          <w:szCs w:val="22"/>
          <w:rtl w:val="0"/>
        </w:rPr>
        <w:t xml:space="preserve">Stress:</w:t>
      </w:r>
      <w:r w:rsidDel="00000000" w:rsidR="00000000" w:rsidRPr="00000000">
        <w:rPr>
          <w:sz w:val="22"/>
          <w:szCs w:val="22"/>
          <w:rtl w:val="0"/>
        </w:rPr>
        <w:t xml:space="preserve"> The 10-item Perceived Stress Scale by Cohen et al. (1994) was used to measure stress levels. Participants indicated their responses on a five-point Likert scale (0 = never, 1 = almost never, 2 = sometimes, 3 = fairly often, 4 = very often). Items 4, 5, 7, and 8 were reverse-scored. All items were then summed to create a total score ranging between 0 and 40. Scores ranging from 0-13 are considered low stress, 14-26 moderate stress, and 27-40 high perceived stress. The Cronbach’s alpha for this scale is </w:t>
      </w:r>
      <w:r w:rsidDel="00000000" w:rsidR="00000000" w:rsidRPr="00000000">
        <w:rPr>
          <w:i w:val="1"/>
          <w:sz w:val="22"/>
          <w:szCs w:val="22"/>
          <w:rtl w:val="0"/>
        </w:rPr>
        <w:t xml:space="preserve">α</w:t>
      </w:r>
      <w:r w:rsidDel="00000000" w:rsidR="00000000" w:rsidRPr="00000000">
        <w:rPr>
          <w:sz w:val="22"/>
          <w:szCs w:val="22"/>
          <w:rtl w:val="0"/>
        </w:rPr>
        <w:t xml:space="preserve"> = .77, demonstrating an acceptable internal consistency. </w:t>
      </w:r>
    </w:p>
    <w:p w:rsidR="00000000" w:rsidDel="00000000" w:rsidP="00000000" w:rsidRDefault="00000000" w:rsidRPr="00000000" w14:paraId="00000074">
      <w:pPr>
        <w:ind w:firstLine="720"/>
        <w:jc w:val="both"/>
        <w:rPr>
          <w:sz w:val="22"/>
          <w:szCs w:val="22"/>
        </w:rPr>
      </w:pPr>
      <w:r w:rsidDel="00000000" w:rsidR="00000000" w:rsidRPr="00000000">
        <w:rPr>
          <w:rtl w:val="0"/>
        </w:rPr>
      </w:r>
    </w:p>
    <w:p w:rsidR="00000000" w:rsidDel="00000000" w:rsidP="00000000" w:rsidRDefault="00000000" w:rsidRPr="00000000" w14:paraId="00000075">
      <w:pPr>
        <w:ind w:firstLine="720"/>
        <w:jc w:val="both"/>
        <w:rPr>
          <w:sz w:val="22"/>
          <w:szCs w:val="22"/>
        </w:rPr>
      </w:pPr>
      <w:r w:rsidDel="00000000" w:rsidR="00000000" w:rsidRPr="00000000">
        <w:rPr>
          <w:i w:val="1"/>
          <w:sz w:val="22"/>
          <w:szCs w:val="22"/>
          <w:rtl w:val="0"/>
        </w:rPr>
        <w:t xml:space="preserve">Social interaction anxiety:</w:t>
      </w:r>
      <w:r w:rsidDel="00000000" w:rsidR="00000000" w:rsidRPr="00000000">
        <w:rPr>
          <w:sz w:val="22"/>
          <w:szCs w:val="22"/>
          <w:rtl w:val="0"/>
        </w:rPr>
        <w:t xml:space="preserve"> The Social Interaction Anxiety Scale (SIAS) by Mattick and Clarke (1998) was used to measure social interaction anxiety. This scale consists of 19 items on a five-point Likert scale (0 = not at all, 1 = slightly, 2 = moderately, 3 = very, 4 = extremely). Items 8 and 10 were reverse-scored. The total possible scores for SIAS range from 0 to 76, with a cut-off score of 34 representing significant social interaction anxiety (Mattick &amp; Clarke, 1998). The Cronbach’s alpha for this scale is .93 in this study.</w:t>
      </w:r>
    </w:p>
    <w:p w:rsidR="00000000" w:rsidDel="00000000" w:rsidP="00000000" w:rsidRDefault="00000000" w:rsidRPr="00000000" w14:paraId="00000076">
      <w:pPr>
        <w:ind w:firstLine="720"/>
        <w:jc w:val="both"/>
        <w:rPr>
          <w:sz w:val="22"/>
          <w:szCs w:val="22"/>
        </w:rPr>
      </w:pPr>
      <w:r w:rsidDel="00000000" w:rsidR="00000000" w:rsidRPr="00000000">
        <w:rPr>
          <w:rtl w:val="0"/>
        </w:rPr>
      </w:r>
    </w:p>
    <w:p w:rsidR="00000000" w:rsidDel="00000000" w:rsidP="00000000" w:rsidRDefault="00000000" w:rsidRPr="00000000" w14:paraId="00000077">
      <w:pPr>
        <w:ind w:firstLine="720"/>
        <w:jc w:val="both"/>
        <w:rPr>
          <w:sz w:val="22"/>
          <w:szCs w:val="22"/>
        </w:rPr>
      </w:pPr>
      <w:r w:rsidDel="00000000" w:rsidR="00000000" w:rsidRPr="00000000">
        <w:rPr>
          <w:i w:val="1"/>
          <w:sz w:val="22"/>
          <w:szCs w:val="22"/>
          <w:rtl w:val="0"/>
        </w:rPr>
        <w:t xml:space="preserve">Loneliness</w:t>
      </w:r>
      <w:r w:rsidDel="00000000" w:rsidR="00000000" w:rsidRPr="00000000">
        <w:rPr>
          <w:sz w:val="22"/>
          <w:szCs w:val="22"/>
          <w:rtl w:val="0"/>
        </w:rPr>
        <w:t xml:space="preserve">: This variable was examined using the UCLA Loneliness Scale (version 3) (Russell, 1996). It has 20 items with a four-point Likert scale of 0 = I never feel this way, 1 = I rarely feel this way, 2 = I sometimes feel this way, and 3 = I often feel this way. Items 1, 5, 6, 9, 10, 15, 16, 19, and 20 were reverse-scored. All scores were then summed, with total scores of less than 28 interpreted as low loneliness, 28 to 43 as moderate, and over 43 as high (Cacioppo &amp; Patrick, 2008). The Cronbach’s alpha is .90 in this study.</w:t>
      </w:r>
    </w:p>
    <w:p w:rsidR="00000000" w:rsidDel="00000000" w:rsidP="00000000" w:rsidRDefault="00000000" w:rsidRPr="00000000" w14:paraId="00000078">
      <w:pPr>
        <w:ind w:firstLine="720"/>
        <w:jc w:val="both"/>
        <w:rPr>
          <w:sz w:val="22"/>
          <w:szCs w:val="22"/>
        </w:rPr>
      </w:pPr>
      <w:r w:rsidDel="00000000" w:rsidR="00000000" w:rsidRPr="00000000">
        <w:rPr>
          <w:sz w:val="22"/>
          <w:szCs w:val="22"/>
          <w:rtl w:val="0"/>
        </w:rPr>
        <w:t xml:space="preserve">As Baker (1998) and Polit et al. (2001) recommended, the survey was pre-tested to ensure the clarity and feasibility of the questionnaire. This pre-test on 15 participants who met the inclusion criteria indicated that no changes to the survey items were necessary for the present study. Bradburn et al. (2004) posit that samples for pre-test or pilot tests may range from at least 10 participants to as high as 50 (p. 358). Therefore, the sample size of our pre-test is adequate to obtain useful data. The survey was then administered using Google Forms and distributed on various social media platforms for the primary data collection.</w:t>
      </w:r>
    </w:p>
    <w:p w:rsidR="00000000" w:rsidDel="00000000" w:rsidP="00000000" w:rsidRDefault="00000000" w:rsidRPr="00000000" w14:paraId="00000079">
      <w:pPr>
        <w:ind w:firstLine="720"/>
        <w:jc w:val="both"/>
        <w:rPr>
          <w:sz w:val="22"/>
          <w:szCs w:val="22"/>
        </w:rPr>
      </w:pPr>
      <w:r w:rsidDel="00000000" w:rsidR="00000000" w:rsidRPr="00000000">
        <w:rPr>
          <w:rtl w:val="0"/>
        </w:rPr>
      </w:r>
    </w:p>
    <w:p w:rsidR="00000000" w:rsidDel="00000000" w:rsidP="00000000" w:rsidRDefault="00000000" w:rsidRPr="00000000" w14:paraId="0000007A">
      <w:pPr>
        <w:jc w:val="both"/>
        <w:rPr>
          <w:b w:val="1"/>
          <w:sz w:val="22"/>
          <w:szCs w:val="22"/>
        </w:rPr>
      </w:pPr>
      <w:r w:rsidDel="00000000" w:rsidR="00000000" w:rsidRPr="00000000">
        <w:rPr>
          <w:b w:val="1"/>
          <w:sz w:val="22"/>
          <w:szCs w:val="22"/>
          <w:rtl w:val="0"/>
        </w:rPr>
        <w:t xml:space="preserve">Data Analysis</w:t>
      </w:r>
    </w:p>
    <w:p w:rsidR="00000000" w:rsidDel="00000000" w:rsidP="00000000" w:rsidRDefault="00000000" w:rsidRPr="00000000" w14:paraId="0000007B">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jc w:val="both"/>
        <w:rPr>
          <w:sz w:val="22"/>
          <w:szCs w:val="22"/>
        </w:rPr>
      </w:pPr>
      <w:r w:rsidDel="00000000" w:rsidR="00000000" w:rsidRPr="00000000">
        <w:rPr>
          <w:rtl w:val="0"/>
        </w:rPr>
      </w:r>
    </w:p>
    <w:p w:rsidR="00000000" w:rsidDel="00000000" w:rsidP="00000000" w:rsidRDefault="00000000" w:rsidRPr="00000000" w14:paraId="0000007C">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jc w:val="both"/>
        <w:rPr>
          <w:sz w:val="22"/>
          <w:szCs w:val="22"/>
        </w:rPr>
      </w:pPr>
      <w:r w:rsidDel="00000000" w:rsidR="00000000" w:rsidRPr="00000000">
        <w:rPr>
          <w:sz w:val="22"/>
          <w:szCs w:val="22"/>
          <w:rtl w:val="0"/>
        </w:rPr>
        <w:t xml:space="preserve">We analysed the data with IBM SPSS Statistics for Windows version 27. As the first step, preliminary analysis testing statistical assumptions of regression was carried out. Then, descriptive statistics were computed, and Pearson correlation analyses were used to explore the magnitude of the relationships between the study variables. Following these analyses, we performed multiple regression analyses, with stress, social interaction anxiety, and loneliness consecutively set as predictors. Statistical significance is represented by </w:t>
      </w:r>
      <w:r w:rsidDel="00000000" w:rsidR="00000000" w:rsidRPr="00000000">
        <w:rPr>
          <w:i w:val="1"/>
          <w:sz w:val="22"/>
          <w:szCs w:val="22"/>
          <w:rtl w:val="0"/>
        </w:rPr>
        <w:t xml:space="preserve">p </w:t>
      </w:r>
      <w:r w:rsidDel="00000000" w:rsidR="00000000" w:rsidRPr="00000000">
        <w:rPr>
          <w:sz w:val="22"/>
          <w:szCs w:val="22"/>
          <w:rtl w:val="0"/>
        </w:rPr>
        <w:t xml:space="preserve">&lt; .05 and a 95% confidence interval (CI) that does not include zero. </w:t>
      </w:r>
    </w:p>
    <w:p w:rsidR="00000000" w:rsidDel="00000000" w:rsidP="00000000" w:rsidRDefault="00000000" w:rsidRPr="00000000" w14:paraId="0000007D">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jc w:val="both"/>
        <w:rPr>
          <w:sz w:val="22"/>
          <w:szCs w:val="22"/>
        </w:rPr>
      </w:pPr>
      <w:r w:rsidDel="00000000" w:rsidR="00000000" w:rsidRPr="00000000">
        <w:rPr>
          <w:rtl w:val="0"/>
        </w:rPr>
      </w:r>
    </w:p>
    <w:p w:rsidR="00000000" w:rsidDel="00000000" w:rsidP="00000000" w:rsidRDefault="00000000" w:rsidRPr="00000000" w14:paraId="0000007E">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jc w:val="both"/>
        <w:rPr>
          <w:b w:val="1"/>
          <w:sz w:val="24"/>
          <w:szCs w:val="24"/>
        </w:rPr>
      </w:pPr>
      <w:r w:rsidDel="00000000" w:rsidR="00000000" w:rsidRPr="00000000">
        <w:rPr>
          <w:rtl w:val="0"/>
        </w:rPr>
      </w:r>
    </w:p>
    <w:p w:rsidR="00000000" w:rsidDel="00000000" w:rsidP="00000000" w:rsidRDefault="00000000" w:rsidRPr="00000000" w14:paraId="0000007F">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jc w:val="both"/>
        <w:rPr>
          <w:b w:val="1"/>
          <w:sz w:val="24"/>
          <w:szCs w:val="24"/>
        </w:rPr>
      </w:pPr>
      <w:r w:rsidDel="00000000" w:rsidR="00000000" w:rsidRPr="00000000">
        <w:rPr>
          <w:b w:val="1"/>
          <w:sz w:val="24"/>
          <w:szCs w:val="24"/>
          <w:rtl w:val="0"/>
        </w:rPr>
        <w:t xml:space="preserve">Results</w:t>
      </w:r>
    </w:p>
    <w:p w:rsidR="00000000" w:rsidDel="00000000" w:rsidP="00000000" w:rsidRDefault="00000000" w:rsidRPr="00000000" w14:paraId="00000080">
      <w:pPr>
        <w:jc w:val="both"/>
        <w:rPr>
          <w:i w:val="1"/>
          <w:sz w:val="22"/>
          <w:szCs w:val="22"/>
        </w:rPr>
      </w:pPr>
      <w:r w:rsidDel="00000000" w:rsidR="00000000" w:rsidRPr="00000000">
        <w:rPr>
          <w:rtl w:val="0"/>
        </w:rPr>
      </w:r>
    </w:p>
    <w:p w:rsidR="00000000" w:rsidDel="00000000" w:rsidP="00000000" w:rsidRDefault="00000000" w:rsidRPr="00000000" w14:paraId="00000081">
      <w:pPr>
        <w:jc w:val="both"/>
        <w:rPr>
          <w:b w:val="1"/>
          <w:color w:val="000000"/>
          <w:sz w:val="22"/>
          <w:szCs w:val="22"/>
        </w:rPr>
      </w:pPr>
      <w:r w:rsidDel="00000000" w:rsidR="00000000" w:rsidRPr="00000000">
        <w:rPr>
          <w:b w:val="1"/>
          <w:color w:val="000000"/>
          <w:sz w:val="22"/>
          <w:szCs w:val="22"/>
          <w:rtl w:val="0"/>
        </w:rPr>
        <w:t xml:space="preserve">Participants’ Demographic Characteristics</w:t>
      </w:r>
    </w:p>
    <w:p w:rsidR="00000000" w:rsidDel="00000000" w:rsidP="00000000" w:rsidRDefault="00000000" w:rsidRPr="00000000" w14:paraId="00000082">
      <w:pPr>
        <w:jc w:val="both"/>
        <w:rPr>
          <w:b w:val="1"/>
          <w:color w:val="000000"/>
          <w:sz w:val="22"/>
          <w:szCs w:val="22"/>
        </w:rPr>
      </w:pPr>
      <w:r w:rsidDel="00000000" w:rsidR="00000000" w:rsidRPr="00000000">
        <w:rPr>
          <w:rtl w:val="0"/>
        </w:rPr>
      </w:r>
    </w:p>
    <w:p w:rsidR="00000000" w:rsidDel="00000000" w:rsidP="00000000" w:rsidRDefault="00000000" w:rsidRPr="00000000" w14:paraId="00000083">
      <w:pPr>
        <w:jc w:val="both"/>
        <w:rPr>
          <w:sz w:val="22"/>
          <w:szCs w:val="22"/>
        </w:rPr>
      </w:pPr>
      <w:r w:rsidDel="00000000" w:rsidR="00000000" w:rsidRPr="00000000">
        <w:rPr>
          <w:sz w:val="22"/>
          <w:szCs w:val="22"/>
          <w:rtl w:val="0"/>
        </w:rPr>
        <w:t xml:space="preserve">Table 1 displays information about the participants’ characteristics. A total of 149 participants (Male = 48; Female = 101) responded to the survey, passing the minimum required sample size of 74 calculated using Green’s (1991) formula of </w:t>
      </w:r>
      <w:r w:rsidDel="00000000" w:rsidR="00000000" w:rsidRPr="00000000">
        <w:rPr>
          <w:i w:val="1"/>
          <w:sz w:val="22"/>
          <w:szCs w:val="22"/>
          <w:rtl w:val="0"/>
        </w:rPr>
        <w:t xml:space="preserve">n </w:t>
      </w:r>
      <w:r w:rsidDel="00000000" w:rsidR="00000000" w:rsidRPr="00000000">
        <w:rPr>
          <w:sz w:val="22"/>
          <w:szCs w:val="22"/>
          <w:rtl w:val="0"/>
        </w:rPr>
        <w:t xml:space="preserve">&gt; 50 + 8</w:t>
      </w:r>
      <w:r w:rsidDel="00000000" w:rsidR="00000000" w:rsidRPr="00000000">
        <w:rPr>
          <w:i w:val="1"/>
          <w:sz w:val="22"/>
          <w:szCs w:val="22"/>
          <w:rtl w:val="0"/>
        </w:rPr>
        <w:t xml:space="preserve">p</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is the number of predictors (i.e., in this study, there are three predictors: stress, social interaction anxiety, and loneliness). The vast majority of the participants are in their fourth year of study (38.3%) and come from Selangor (30.2%), Kuala Lumpur (14.1%), and Sabah (10.1%). </w:t>
      </w:r>
    </w:p>
    <w:p w:rsidR="00000000" w:rsidDel="00000000" w:rsidP="00000000" w:rsidRDefault="00000000" w:rsidRPr="00000000" w14:paraId="00000084">
      <w:pPr>
        <w:jc w:val="both"/>
        <w:rPr>
          <w:color w:val="000000"/>
          <w:sz w:val="22"/>
          <w:szCs w:val="22"/>
        </w:rPr>
      </w:pPr>
      <w:r w:rsidDel="00000000" w:rsidR="00000000" w:rsidRPr="00000000">
        <w:rPr>
          <w:rtl w:val="0"/>
        </w:rPr>
      </w:r>
    </w:p>
    <w:p w:rsidR="00000000" w:rsidDel="00000000" w:rsidP="00000000" w:rsidRDefault="00000000" w:rsidRPr="00000000" w14:paraId="00000085">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rPr>
          <w:b w:val="1"/>
          <w:sz w:val="22"/>
          <w:szCs w:val="22"/>
        </w:rPr>
      </w:pPr>
      <w:r w:rsidDel="00000000" w:rsidR="00000000" w:rsidRPr="00000000">
        <w:rPr>
          <w:b w:val="1"/>
          <w:sz w:val="22"/>
          <w:szCs w:val="22"/>
          <w:rtl w:val="0"/>
        </w:rPr>
        <w:t xml:space="preserve">Table 1</w:t>
      </w:r>
    </w:p>
    <w:p w:rsidR="00000000" w:rsidDel="00000000" w:rsidP="00000000" w:rsidRDefault="00000000" w:rsidRPr="00000000" w14:paraId="00000086">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rPr>
          <w:b w:val="1"/>
        </w:rPr>
      </w:pPr>
      <w:r w:rsidDel="00000000" w:rsidR="00000000" w:rsidRPr="00000000">
        <w:rPr>
          <w:rtl w:val="0"/>
        </w:rPr>
      </w:r>
    </w:p>
    <w:p w:rsidR="00000000" w:rsidDel="00000000" w:rsidP="00000000" w:rsidRDefault="00000000" w:rsidRPr="00000000" w14:paraId="00000087">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rPr>
          <w:i w:val="1"/>
        </w:rPr>
      </w:pPr>
      <w:r w:rsidDel="00000000" w:rsidR="00000000" w:rsidRPr="00000000">
        <w:rPr>
          <w:i w:val="1"/>
          <w:rtl w:val="0"/>
        </w:rPr>
        <w:t xml:space="preserve">Participants’ demographic characteristics (n = 149)</w:t>
      </w:r>
    </w:p>
    <w:p w:rsidR="00000000" w:rsidDel="00000000" w:rsidP="00000000" w:rsidRDefault="00000000" w:rsidRPr="00000000" w14:paraId="00000088">
      <w:pPr>
        <w:tabs>
          <w:tab w:val="left" w:leader="none" w:pos="-720"/>
          <w:tab w:val="left" w:leader="none" w:pos="0"/>
          <w:tab w:val="left" w:leader="none" w:pos="1260"/>
          <w:tab w:val="left" w:leader="none" w:pos="2610"/>
          <w:tab w:val="left" w:leader="none" w:pos="30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rPr>
          <w:i w:val="1"/>
          <w:sz w:val="22"/>
          <w:szCs w:val="22"/>
        </w:rPr>
      </w:pPr>
      <w:r w:rsidDel="00000000" w:rsidR="00000000" w:rsidRPr="00000000">
        <w:rPr>
          <w:rtl w:val="0"/>
        </w:rPr>
      </w:r>
    </w:p>
    <w:tbl>
      <w:tblPr>
        <w:tblStyle w:val="Table1"/>
        <w:tblW w:w="8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2"/>
        <w:gridCol w:w="2379"/>
        <w:gridCol w:w="2139"/>
        <w:gridCol w:w="1980"/>
        <w:tblGridChange w:id="0">
          <w:tblGrid>
            <w:gridCol w:w="2022"/>
            <w:gridCol w:w="2379"/>
            <w:gridCol w:w="2139"/>
            <w:gridCol w:w="198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089">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Demographic Characteristics</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08A">
            <w:pPr>
              <w:spacing w:after="4" w:before="4" w:lineRule="auto"/>
              <w:jc w:val="left"/>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Category</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08B">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Frequency</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08C">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Percentage (%)</w:t>
            </w:r>
          </w:p>
        </w:tc>
      </w:tr>
      <w:tr>
        <w:trPr>
          <w:cantSplit w:val="0"/>
          <w:trHeight w:val="9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D">
            <w:pPr>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Gender</w:t>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8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Male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8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48</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9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32.20</w:t>
            </w:r>
            <w:r w:rsidDel="00000000" w:rsidR="00000000" w:rsidRPr="00000000">
              <w:rPr>
                <w:rtl w:val="0"/>
              </w:rPr>
            </w:r>
          </w:p>
        </w:tc>
      </w:tr>
      <w:tr>
        <w:trPr>
          <w:cantSplit w:val="0"/>
          <w:tblHeader w:val="0"/>
        </w:trPr>
        <w:tc>
          <w:tcPr/>
          <w:p w:rsidR="00000000" w:rsidDel="00000000" w:rsidP="00000000" w:rsidRDefault="00000000" w:rsidRPr="00000000" w14:paraId="0000009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9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Female</w:t>
            </w:r>
            <w:r w:rsidDel="00000000" w:rsidR="00000000" w:rsidRPr="00000000">
              <w:rPr>
                <w:rtl w:val="0"/>
              </w:rPr>
            </w:r>
          </w:p>
        </w:tc>
        <w:tc>
          <w:tcPr>
            <w:vAlign w:val="bottom"/>
          </w:tcPr>
          <w:p w:rsidR="00000000" w:rsidDel="00000000" w:rsidP="00000000" w:rsidRDefault="00000000" w:rsidRPr="00000000" w14:paraId="0000009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101</w:t>
            </w:r>
            <w:r w:rsidDel="00000000" w:rsidR="00000000" w:rsidRPr="00000000">
              <w:rPr>
                <w:rtl w:val="0"/>
              </w:rPr>
            </w:r>
          </w:p>
        </w:tc>
        <w:tc>
          <w:tcPr>
            <w:vAlign w:val="bottom"/>
          </w:tcPr>
          <w:p w:rsidR="00000000" w:rsidDel="00000000" w:rsidP="00000000" w:rsidRDefault="00000000" w:rsidRPr="00000000" w14:paraId="0000009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67.80</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5">
            <w:pPr>
              <w:spacing w:after="4" w:before="4" w:lineRule="auto"/>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096">
            <w:pPr>
              <w:spacing w:after="4" w:before="4"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Total</w:t>
            </w:r>
          </w:p>
        </w:tc>
        <w:tc>
          <w:tcPr>
            <w:shd w:fill="d9d9d9" w:val="clear"/>
          </w:tcPr>
          <w:p w:rsidR="00000000" w:rsidDel="00000000" w:rsidP="00000000" w:rsidRDefault="00000000" w:rsidRPr="00000000" w14:paraId="00000097">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c>
          <w:tcPr>
            <w:shd w:fill="d9d9d9" w:val="clear"/>
          </w:tcPr>
          <w:p w:rsidR="00000000" w:rsidDel="00000000" w:rsidP="00000000" w:rsidRDefault="00000000" w:rsidRPr="00000000" w14:paraId="00000098">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r>
      <w:tr>
        <w:trPr>
          <w:cantSplit w:val="0"/>
          <w:tblHeader w:val="0"/>
        </w:trPr>
        <w:tc>
          <w:tcPr/>
          <w:p w:rsidR="00000000" w:rsidDel="00000000" w:rsidP="00000000" w:rsidRDefault="00000000" w:rsidRPr="00000000" w14:paraId="00000099">
            <w:pPr>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Age</w:t>
            </w:r>
          </w:p>
        </w:tc>
        <w:tc>
          <w:tcPr>
            <w:vAlign w:val="bottom"/>
          </w:tcPr>
          <w:p w:rsidR="00000000" w:rsidDel="00000000" w:rsidP="00000000" w:rsidRDefault="00000000" w:rsidRPr="00000000" w14:paraId="0000009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18</w:t>
            </w:r>
            <w:r w:rsidDel="00000000" w:rsidR="00000000" w:rsidRPr="00000000">
              <w:rPr>
                <w:rtl w:val="0"/>
              </w:rPr>
            </w:r>
          </w:p>
        </w:tc>
        <w:tc>
          <w:tcPr>
            <w:vAlign w:val="bottom"/>
          </w:tcPr>
          <w:p w:rsidR="00000000" w:rsidDel="00000000" w:rsidP="00000000" w:rsidRDefault="00000000" w:rsidRPr="00000000" w14:paraId="0000009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w:t>
            </w:r>
            <w:r w:rsidDel="00000000" w:rsidR="00000000" w:rsidRPr="00000000">
              <w:rPr>
                <w:rtl w:val="0"/>
              </w:rPr>
            </w:r>
          </w:p>
        </w:tc>
        <w:tc>
          <w:tcPr>
            <w:vAlign w:val="bottom"/>
          </w:tcPr>
          <w:p w:rsidR="00000000" w:rsidDel="00000000" w:rsidP="00000000" w:rsidRDefault="00000000" w:rsidRPr="00000000" w14:paraId="0000009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0.70</w:t>
            </w:r>
            <w:r w:rsidDel="00000000" w:rsidR="00000000" w:rsidRPr="00000000">
              <w:rPr>
                <w:rtl w:val="0"/>
              </w:rPr>
            </w:r>
          </w:p>
        </w:tc>
      </w:tr>
      <w:tr>
        <w:trPr>
          <w:cantSplit w:val="0"/>
          <w:tblHeader w:val="0"/>
        </w:trPr>
        <w:tc>
          <w:tcPr/>
          <w:p w:rsidR="00000000" w:rsidDel="00000000" w:rsidP="00000000" w:rsidRDefault="00000000" w:rsidRPr="00000000" w14:paraId="0000009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9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19</w:t>
            </w:r>
            <w:r w:rsidDel="00000000" w:rsidR="00000000" w:rsidRPr="00000000">
              <w:rPr>
                <w:rtl w:val="0"/>
              </w:rPr>
            </w:r>
          </w:p>
        </w:tc>
        <w:tc>
          <w:tcPr>
            <w:vAlign w:val="bottom"/>
          </w:tcPr>
          <w:p w:rsidR="00000000" w:rsidDel="00000000" w:rsidP="00000000" w:rsidRDefault="00000000" w:rsidRPr="00000000" w14:paraId="0000009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w:t>
            </w:r>
            <w:r w:rsidDel="00000000" w:rsidR="00000000" w:rsidRPr="00000000">
              <w:rPr>
                <w:rtl w:val="0"/>
              </w:rPr>
            </w:r>
          </w:p>
        </w:tc>
        <w:tc>
          <w:tcPr>
            <w:vAlign w:val="bottom"/>
          </w:tcPr>
          <w:p w:rsidR="00000000" w:rsidDel="00000000" w:rsidP="00000000" w:rsidRDefault="00000000" w:rsidRPr="00000000" w14:paraId="000000A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2.00</w:t>
            </w:r>
            <w:r w:rsidDel="00000000" w:rsidR="00000000" w:rsidRPr="00000000">
              <w:rPr>
                <w:rtl w:val="0"/>
              </w:rPr>
            </w:r>
          </w:p>
        </w:tc>
      </w:tr>
      <w:tr>
        <w:trPr>
          <w:cantSplit w:val="0"/>
          <w:tblHeader w:val="0"/>
        </w:trPr>
        <w:tc>
          <w:tcPr/>
          <w:p w:rsidR="00000000" w:rsidDel="00000000" w:rsidP="00000000" w:rsidRDefault="00000000" w:rsidRPr="00000000" w14:paraId="000000A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A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20</w:t>
            </w:r>
            <w:r w:rsidDel="00000000" w:rsidR="00000000" w:rsidRPr="00000000">
              <w:rPr>
                <w:rtl w:val="0"/>
              </w:rPr>
            </w:r>
          </w:p>
        </w:tc>
        <w:tc>
          <w:tcPr>
            <w:vAlign w:val="bottom"/>
          </w:tcPr>
          <w:p w:rsidR="00000000" w:rsidDel="00000000" w:rsidP="00000000" w:rsidRDefault="00000000" w:rsidRPr="00000000" w14:paraId="000000A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w:t>
            </w:r>
            <w:r w:rsidDel="00000000" w:rsidR="00000000" w:rsidRPr="00000000">
              <w:rPr>
                <w:rtl w:val="0"/>
              </w:rPr>
            </w:r>
          </w:p>
        </w:tc>
        <w:tc>
          <w:tcPr>
            <w:vAlign w:val="bottom"/>
          </w:tcPr>
          <w:p w:rsidR="00000000" w:rsidDel="00000000" w:rsidP="00000000" w:rsidRDefault="00000000" w:rsidRPr="00000000" w14:paraId="000000A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2.70</w:t>
            </w:r>
            <w:r w:rsidDel="00000000" w:rsidR="00000000" w:rsidRPr="00000000">
              <w:rPr>
                <w:rtl w:val="0"/>
              </w:rPr>
            </w:r>
          </w:p>
        </w:tc>
      </w:tr>
      <w:tr>
        <w:trPr>
          <w:cantSplit w:val="0"/>
          <w:tblHeader w:val="0"/>
        </w:trPr>
        <w:tc>
          <w:tcPr/>
          <w:p w:rsidR="00000000" w:rsidDel="00000000" w:rsidP="00000000" w:rsidRDefault="00000000" w:rsidRPr="00000000" w14:paraId="000000A5">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A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21</w:t>
            </w:r>
            <w:r w:rsidDel="00000000" w:rsidR="00000000" w:rsidRPr="00000000">
              <w:rPr>
                <w:rtl w:val="0"/>
              </w:rPr>
            </w:r>
          </w:p>
        </w:tc>
        <w:tc>
          <w:tcPr>
            <w:vAlign w:val="bottom"/>
          </w:tcPr>
          <w:p w:rsidR="00000000" w:rsidDel="00000000" w:rsidP="00000000" w:rsidRDefault="00000000" w:rsidRPr="00000000" w14:paraId="000000A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26</w:t>
            </w:r>
            <w:r w:rsidDel="00000000" w:rsidR="00000000" w:rsidRPr="00000000">
              <w:rPr>
                <w:rtl w:val="0"/>
              </w:rPr>
            </w:r>
          </w:p>
        </w:tc>
        <w:tc>
          <w:tcPr>
            <w:vAlign w:val="bottom"/>
          </w:tcPr>
          <w:p w:rsidR="00000000" w:rsidDel="00000000" w:rsidP="00000000" w:rsidRDefault="00000000" w:rsidRPr="00000000" w14:paraId="000000A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17.40</w:t>
            </w:r>
            <w:r w:rsidDel="00000000" w:rsidR="00000000" w:rsidRPr="00000000">
              <w:rPr>
                <w:rtl w:val="0"/>
              </w:rPr>
            </w:r>
          </w:p>
        </w:tc>
      </w:tr>
      <w:tr>
        <w:trPr>
          <w:cantSplit w:val="0"/>
          <w:tblHeader w:val="0"/>
        </w:trPr>
        <w:tc>
          <w:tcPr/>
          <w:p w:rsidR="00000000" w:rsidDel="00000000" w:rsidP="00000000" w:rsidRDefault="00000000" w:rsidRPr="00000000" w14:paraId="000000A9">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A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22</w:t>
            </w:r>
            <w:r w:rsidDel="00000000" w:rsidR="00000000" w:rsidRPr="00000000">
              <w:rPr>
                <w:rtl w:val="0"/>
              </w:rPr>
            </w:r>
          </w:p>
        </w:tc>
        <w:tc>
          <w:tcPr>
            <w:vAlign w:val="bottom"/>
          </w:tcPr>
          <w:p w:rsidR="00000000" w:rsidDel="00000000" w:rsidP="00000000" w:rsidRDefault="00000000" w:rsidRPr="00000000" w14:paraId="000000A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24</w:t>
            </w:r>
            <w:r w:rsidDel="00000000" w:rsidR="00000000" w:rsidRPr="00000000">
              <w:rPr>
                <w:rtl w:val="0"/>
              </w:rPr>
            </w:r>
          </w:p>
        </w:tc>
        <w:tc>
          <w:tcPr>
            <w:vAlign w:val="bottom"/>
          </w:tcPr>
          <w:p w:rsidR="00000000" w:rsidDel="00000000" w:rsidP="00000000" w:rsidRDefault="00000000" w:rsidRPr="00000000" w14:paraId="000000A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16.10</w:t>
            </w:r>
            <w:r w:rsidDel="00000000" w:rsidR="00000000" w:rsidRPr="00000000">
              <w:rPr>
                <w:rtl w:val="0"/>
              </w:rPr>
            </w:r>
          </w:p>
        </w:tc>
      </w:tr>
      <w:tr>
        <w:trPr>
          <w:cantSplit w:val="0"/>
          <w:tblHeader w:val="0"/>
        </w:trPr>
        <w:tc>
          <w:tcPr/>
          <w:p w:rsidR="00000000" w:rsidDel="00000000" w:rsidP="00000000" w:rsidRDefault="00000000" w:rsidRPr="00000000" w14:paraId="000000A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A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23</w:t>
            </w:r>
            <w:r w:rsidDel="00000000" w:rsidR="00000000" w:rsidRPr="00000000">
              <w:rPr>
                <w:rtl w:val="0"/>
              </w:rPr>
            </w:r>
          </w:p>
        </w:tc>
        <w:tc>
          <w:tcPr>
            <w:vAlign w:val="bottom"/>
          </w:tcPr>
          <w:p w:rsidR="00000000" w:rsidDel="00000000" w:rsidP="00000000" w:rsidRDefault="00000000" w:rsidRPr="00000000" w14:paraId="000000A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68</w:t>
            </w:r>
            <w:r w:rsidDel="00000000" w:rsidR="00000000" w:rsidRPr="00000000">
              <w:rPr>
                <w:rtl w:val="0"/>
              </w:rPr>
            </w:r>
          </w:p>
        </w:tc>
        <w:tc>
          <w:tcPr>
            <w:vAlign w:val="bottom"/>
          </w:tcPr>
          <w:p w:rsidR="00000000" w:rsidDel="00000000" w:rsidP="00000000" w:rsidRDefault="00000000" w:rsidRPr="00000000" w14:paraId="000000B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45.60</w:t>
            </w:r>
            <w:r w:rsidDel="00000000" w:rsidR="00000000" w:rsidRPr="00000000">
              <w:rPr>
                <w:rtl w:val="0"/>
              </w:rPr>
            </w:r>
          </w:p>
        </w:tc>
      </w:tr>
      <w:tr>
        <w:trPr>
          <w:cantSplit w:val="0"/>
          <w:tblHeader w:val="0"/>
        </w:trPr>
        <w:tc>
          <w:tcPr/>
          <w:p w:rsidR="00000000" w:rsidDel="00000000" w:rsidP="00000000" w:rsidRDefault="00000000" w:rsidRPr="00000000" w14:paraId="000000B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B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24</w:t>
            </w:r>
            <w:r w:rsidDel="00000000" w:rsidR="00000000" w:rsidRPr="00000000">
              <w:rPr>
                <w:rtl w:val="0"/>
              </w:rPr>
            </w:r>
          </w:p>
        </w:tc>
        <w:tc>
          <w:tcPr>
            <w:vAlign w:val="bottom"/>
          </w:tcPr>
          <w:p w:rsidR="00000000" w:rsidDel="00000000" w:rsidP="00000000" w:rsidRDefault="00000000" w:rsidRPr="00000000" w14:paraId="000000B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13</w:t>
            </w:r>
            <w:r w:rsidDel="00000000" w:rsidR="00000000" w:rsidRPr="00000000">
              <w:rPr>
                <w:rtl w:val="0"/>
              </w:rPr>
            </w:r>
          </w:p>
        </w:tc>
        <w:tc>
          <w:tcPr>
            <w:vAlign w:val="bottom"/>
          </w:tcPr>
          <w:p w:rsidR="00000000" w:rsidDel="00000000" w:rsidP="00000000" w:rsidRDefault="00000000" w:rsidRPr="00000000" w14:paraId="000000B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8.70</w:t>
            </w:r>
            <w:r w:rsidDel="00000000" w:rsidR="00000000" w:rsidRPr="00000000">
              <w:rPr>
                <w:rtl w:val="0"/>
              </w:rPr>
            </w:r>
          </w:p>
        </w:tc>
      </w:tr>
      <w:tr>
        <w:trPr>
          <w:cantSplit w:val="0"/>
          <w:tblHeader w:val="0"/>
        </w:trPr>
        <w:tc>
          <w:tcPr/>
          <w:p w:rsidR="00000000" w:rsidDel="00000000" w:rsidP="00000000" w:rsidRDefault="00000000" w:rsidRPr="00000000" w14:paraId="000000B5">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B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25</w:t>
            </w:r>
            <w:r w:rsidDel="00000000" w:rsidR="00000000" w:rsidRPr="00000000">
              <w:rPr>
                <w:rtl w:val="0"/>
              </w:rPr>
            </w:r>
          </w:p>
        </w:tc>
        <w:tc>
          <w:tcPr>
            <w:vAlign w:val="bottom"/>
          </w:tcPr>
          <w:p w:rsidR="00000000" w:rsidDel="00000000" w:rsidP="00000000" w:rsidRDefault="00000000" w:rsidRPr="00000000" w14:paraId="000000B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10</w:t>
            </w:r>
            <w:r w:rsidDel="00000000" w:rsidR="00000000" w:rsidRPr="00000000">
              <w:rPr>
                <w:rtl w:val="0"/>
              </w:rPr>
            </w:r>
          </w:p>
        </w:tc>
        <w:tc>
          <w:tcPr>
            <w:vAlign w:val="bottom"/>
          </w:tcPr>
          <w:p w:rsidR="00000000" w:rsidDel="00000000" w:rsidP="00000000" w:rsidRDefault="00000000" w:rsidRPr="00000000" w14:paraId="000000B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6.70</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B9">
            <w:pPr>
              <w:spacing w:after="4" w:before="4" w:lineRule="auto"/>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0BA">
            <w:pPr>
              <w:spacing w:after="4" w:before="4"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Total</w:t>
            </w:r>
          </w:p>
        </w:tc>
        <w:tc>
          <w:tcPr>
            <w:shd w:fill="d9d9d9" w:val="clear"/>
          </w:tcPr>
          <w:p w:rsidR="00000000" w:rsidDel="00000000" w:rsidP="00000000" w:rsidRDefault="00000000" w:rsidRPr="00000000" w14:paraId="000000BB">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c>
          <w:tcPr>
            <w:shd w:fill="d9d9d9" w:val="clear"/>
          </w:tcPr>
          <w:p w:rsidR="00000000" w:rsidDel="00000000" w:rsidP="00000000" w:rsidRDefault="00000000" w:rsidRPr="00000000" w14:paraId="000000BC">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100</w:t>
            </w:r>
          </w:p>
        </w:tc>
      </w:tr>
      <w:tr>
        <w:trPr>
          <w:cantSplit w:val="0"/>
          <w:tblHeader w:val="0"/>
        </w:trPr>
        <w:tc>
          <w:tcPr/>
          <w:p w:rsidR="00000000" w:rsidDel="00000000" w:rsidP="00000000" w:rsidRDefault="00000000" w:rsidRPr="00000000" w14:paraId="000000BD">
            <w:pPr>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State</w:t>
            </w:r>
          </w:p>
        </w:tc>
        <w:tc>
          <w:tcPr>
            <w:vAlign w:val="bottom"/>
          </w:tcPr>
          <w:p w:rsidR="00000000" w:rsidDel="00000000" w:rsidP="00000000" w:rsidRDefault="00000000" w:rsidRPr="00000000" w14:paraId="000000B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Johor</w:t>
            </w:r>
            <w:r w:rsidDel="00000000" w:rsidR="00000000" w:rsidRPr="00000000">
              <w:rPr>
                <w:rtl w:val="0"/>
              </w:rPr>
            </w:r>
          </w:p>
        </w:tc>
        <w:tc>
          <w:tcPr>
            <w:vAlign w:val="bottom"/>
          </w:tcPr>
          <w:p w:rsidR="00000000" w:rsidDel="00000000" w:rsidP="00000000" w:rsidRDefault="00000000" w:rsidRPr="00000000" w14:paraId="000000B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14</w:t>
            </w:r>
            <w:r w:rsidDel="00000000" w:rsidR="00000000" w:rsidRPr="00000000">
              <w:rPr>
                <w:rtl w:val="0"/>
              </w:rPr>
            </w:r>
          </w:p>
        </w:tc>
        <w:tc>
          <w:tcPr>
            <w:vAlign w:val="bottom"/>
          </w:tcPr>
          <w:p w:rsidR="00000000" w:rsidDel="00000000" w:rsidP="00000000" w:rsidRDefault="00000000" w:rsidRPr="00000000" w14:paraId="000000C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9.40</w:t>
            </w:r>
            <w:r w:rsidDel="00000000" w:rsidR="00000000" w:rsidRPr="00000000">
              <w:rPr>
                <w:rtl w:val="0"/>
              </w:rPr>
            </w:r>
          </w:p>
        </w:tc>
      </w:tr>
      <w:tr>
        <w:trPr>
          <w:cantSplit w:val="0"/>
          <w:tblHeader w:val="0"/>
        </w:trPr>
        <w:tc>
          <w:tcPr/>
          <w:p w:rsidR="00000000" w:rsidDel="00000000" w:rsidP="00000000" w:rsidRDefault="00000000" w:rsidRPr="00000000" w14:paraId="000000C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C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Kedah</w:t>
            </w:r>
            <w:r w:rsidDel="00000000" w:rsidR="00000000" w:rsidRPr="00000000">
              <w:rPr>
                <w:rtl w:val="0"/>
              </w:rPr>
            </w:r>
          </w:p>
        </w:tc>
        <w:tc>
          <w:tcPr>
            <w:vAlign w:val="bottom"/>
          </w:tcPr>
          <w:p w:rsidR="00000000" w:rsidDel="00000000" w:rsidP="00000000" w:rsidRDefault="00000000" w:rsidRPr="00000000" w14:paraId="000000C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11</w:t>
            </w:r>
            <w:r w:rsidDel="00000000" w:rsidR="00000000" w:rsidRPr="00000000">
              <w:rPr>
                <w:rtl w:val="0"/>
              </w:rPr>
            </w:r>
          </w:p>
        </w:tc>
        <w:tc>
          <w:tcPr>
            <w:vAlign w:val="bottom"/>
          </w:tcPr>
          <w:p w:rsidR="00000000" w:rsidDel="00000000" w:rsidP="00000000" w:rsidRDefault="00000000" w:rsidRPr="00000000" w14:paraId="000000C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7.40</w:t>
            </w:r>
            <w:r w:rsidDel="00000000" w:rsidR="00000000" w:rsidRPr="00000000">
              <w:rPr>
                <w:rtl w:val="0"/>
              </w:rPr>
            </w:r>
          </w:p>
        </w:tc>
      </w:tr>
      <w:tr>
        <w:trPr>
          <w:cantSplit w:val="0"/>
          <w:tblHeader w:val="0"/>
        </w:trPr>
        <w:tc>
          <w:tcPr/>
          <w:p w:rsidR="00000000" w:rsidDel="00000000" w:rsidP="00000000" w:rsidRDefault="00000000" w:rsidRPr="00000000" w14:paraId="000000C5">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C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Kelantan</w:t>
            </w:r>
            <w:r w:rsidDel="00000000" w:rsidR="00000000" w:rsidRPr="00000000">
              <w:rPr>
                <w:rtl w:val="0"/>
              </w:rPr>
            </w:r>
          </w:p>
        </w:tc>
        <w:tc>
          <w:tcPr>
            <w:vAlign w:val="bottom"/>
          </w:tcPr>
          <w:p w:rsidR="00000000" w:rsidDel="00000000" w:rsidP="00000000" w:rsidRDefault="00000000" w:rsidRPr="00000000" w14:paraId="000000C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8</w:t>
            </w:r>
            <w:r w:rsidDel="00000000" w:rsidR="00000000" w:rsidRPr="00000000">
              <w:rPr>
                <w:rtl w:val="0"/>
              </w:rPr>
            </w:r>
          </w:p>
        </w:tc>
        <w:tc>
          <w:tcPr>
            <w:vAlign w:val="bottom"/>
          </w:tcPr>
          <w:p w:rsidR="00000000" w:rsidDel="00000000" w:rsidP="00000000" w:rsidRDefault="00000000" w:rsidRPr="00000000" w14:paraId="000000C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5.40</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C9">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C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Melaka</w:t>
            </w:r>
            <w:r w:rsidDel="00000000" w:rsidR="00000000" w:rsidRPr="00000000">
              <w:rPr>
                <w:rtl w:val="0"/>
              </w:rPr>
            </w:r>
          </w:p>
        </w:tc>
        <w:tc>
          <w:tcPr>
            <w:vAlign w:val="bottom"/>
          </w:tcPr>
          <w:p w:rsidR="00000000" w:rsidDel="00000000" w:rsidP="00000000" w:rsidRDefault="00000000" w:rsidRPr="00000000" w14:paraId="000000C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w:t>
            </w:r>
            <w:r w:rsidDel="00000000" w:rsidR="00000000" w:rsidRPr="00000000">
              <w:rPr>
                <w:rtl w:val="0"/>
              </w:rPr>
            </w:r>
          </w:p>
        </w:tc>
        <w:tc>
          <w:tcPr>
            <w:vAlign w:val="bottom"/>
          </w:tcPr>
          <w:p w:rsidR="00000000" w:rsidDel="00000000" w:rsidP="00000000" w:rsidRDefault="00000000" w:rsidRPr="00000000" w14:paraId="000000C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2.70</w:t>
            </w:r>
            <w:r w:rsidDel="00000000" w:rsidR="00000000" w:rsidRPr="00000000">
              <w:rPr>
                <w:rtl w:val="0"/>
              </w:rPr>
            </w:r>
          </w:p>
        </w:tc>
      </w:tr>
      <w:tr>
        <w:trPr>
          <w:cantSplit w:val="0"/>
          <w:tblHeader w:val="0"/>
        </w:trPr>
        <w:tc>
          <w:tcPr/>
          <w:p w:rsidR="00000000" w:rsidDel="00000000" w:rsidP="00000000" w:rsidRDefault="00000000" w:rsidRPr="00000000" w14:paraId="000000C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C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Negeri Sembilan</w:t>
            </w:r>
            <w:r w:rsidDel="00000000" w:rsidR="00000000" w:rsidRPr="00000000">
              <w:rPr>
                <w:rtl w:val="0"/>
              </w:rPr>
            </w:r>
          </w:p>
        </w:tc>
        <w:tc>
          <w:tcPr>
            <w:vAlign w:val="bottom"/>
          </w:tcPr>
          <w:p w:rsidR="00000000" w:rsidDel="00000000" w:rsidP="00000000" w:rsidRDefault="00000000" w:rsidRPr="00000000" w14:paraId="000000C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w:t>
            </w:r>
            <w:r w:rsidDel="00000000" w:rsidR="00000000" w:rsidRPr="00000000">
              <w:rPr>
                <w:rtl w:val="0"/>
              </w:rPr>
            </w:r>
          </w:p>
        </w:tc>
        <w:tc>
          <w:tcPr>
            <w:vAlign w:val="bottom"/>
          </w:tcPr>
          <w:p w:rsidR="00000000" w:rsidDel="00000000" w:rsidP="00000000" w:rsidRDefault="00000000" w:rsidRPr="00000000" w14:paraId="000000D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2.00</w:t>
            </w:r>
            <w:r w:rsidDel="00000000" w:rsidR="00000000" w:rsidRPr="00000000">
              <w:rPr>
                <w:rtl w:val="0"/>
              </w:rPr>
            </w:r>
          </w:p>
        </w:tc>
      </w:tr>
      <w:tr>
        <w:trPr>
          <w:cantSplit w:val="0"/>
          <w:tblHeader w:val="0"/>
        </w:trPr>
        <w:tc>
          <w:tcPr/>
          <w:p w:rsidR="00000000" w:rsidDel="00000000" w:rsidP="00000000" w:rsidRDefault="00000000" w:rsidRPr="00000000" w14:paraId="000000D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D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Pahang</w:t>
            </w:r>
            <w:r w:rsidDel="00000000" w:rsidR="00000000" w:rsidRPr="00000000">
              <w:rPr>
                <w:rtl w:val="0"/>
              </w:rPr>
            </w:r>
          </w:p>
        </w:tc>
        <w:tc>
          <w:tcPr>
            <w:vAlign w:val="bottom"/>
          </w:tcPr>
          <w:p w:rsidR="00000000" w:rsidDel="00000000" w:rsidP="00000000" w:rsidRDefault="00000000" w:rsidRPr="00000000" w14:paraId="000000D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7</w:t>
            </w:r>
            <w:r w:rsidDel="00000000" w:rsidR="00000000" w:rsidRPr="00000000">
              <w:rPr>
                <w:rtl w:val="0"/>
              </w:rPr>
            </w:r>
          </w:p>
        </w:tc>
        <w:tc>
          <w:tcPr>
            <w:vAlign w:val="bottom"/>
          </w:tcPr>
          <w:p w:rsidR="00000000" w:rsidDel="00000000" w:rsidP="00000000" w:rsidRDefault="00000000" w:rsidRPr="00000000" w14:paraId="000000D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4.70</w:t>
            </w:r>
            <w:r w:rsidDel="00000000" w:rsidR="00000000" w:rsidRPr="00000000">
              <w:rPr>
                <w:rtl w:val="0"/>
              </w:rPr>
            </w:r>
          </w:p>
        </w:tc>
      </w:tr>
      <w:tr>
        <w:trPr>
          <w:cantSplit w:val="0"/>
          <w:tblHeader w:val="0"/>
        </w:trPr>
        <w:tc>
          <w:tcPr/>
          <w:p w:rsidR="00000000" w:rsidDel="00000000" w:rsidP="00000000" w:rsidRDefault="00000000" w:rsidRPr="00000000" w14:paraId="000000D5">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D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Perak</w:t>
            </w:r>
            <w:r w:rsidDel="00000000" w:rsidR="00000000" w:rsidRPr="00000000">
              <w:rPr>
                <w:rtl w:val="0"/>
              </w:rPr>
            </w:r>
          </w:p>
        </w:tc>
        <w:tc>
          <w:tcPr>
            <w:vAlign w:val="bottom"/>
          </w:tcPr>
          <w:p w:rsidR="00000000" w:rsidDel="00000000" w:rsidP="00000000" w:rsidRDefault="00000000" w:rsidRPr="00000000" w14:paraId="000000D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w:t>
            </w:r>
            <w:r w:rsidDel="00000000" w:rsidR="00000000" w:rsidRPr="00000000">
              <w:rPr>
                <w:rtl w:val="0"/>
              </w:rPr>
            </w:r>
          </w:p>
        </w:tc>
        <w:tc>
          <w:tcPr>
            <w:vAlign w:val="bottom"/>
          </w:tcPr>
          <w:p w:rsidR="00000000" w:rsidDel="00000000" w:rsidP="00000000" w:rsidRDefault="00000000" w:rsidRPr="00000000" w14:paraId="000000D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2.70</w:t>
            </w:r>
            <w:r w:rsidDel="00000000" w:rsidR="00000000" w:rsidRPr="00000000">
              <w:rPr>
                <w:rtl w:val="0"/>
              </w:rPr>
            </w:r>
          </w:p>
        </w:tc>
      </w:tr>
      <w:tr>
        <w:trPr>
          <w:cantSplit w:val="0"/>
          <w:tblHeader w:val="0"/>
        </w:trPr>
        <w:tc>
          <w:tcPr/>
          <w:p w:rsidR="00000000" w:rsidDel="00000000" w:rsidP="00000000" w:rsidRDefault="00000000" w:rsidRPr="00000000" w14:paraId="000000D9">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D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Penang</w:t>
            </w:r>
            <w:r w:rsidDel="00000000" w:rsidR="00000000" w:rsidRPr="00000000">
              <w:rPr>
                <w:rtl w:val="0"/>
              </w:rPr>
            </w:r>
          </w:p>
        </w:tc>
        <w:tc>
          <w:tcPr>
            <w:vAlign w:val="bottom"/>
          </w:tcPr>
          <w:p w:rsidR="00000000" w:rsidDel="00000000" w:rsidP="00000000" w:rsidRDefault="00000000" w:rsidRPr="00000000" w14:paraId="000000D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w:t>
            </w:r>
            <w:r w:rsidDel="00000000" w:rsidR="00000000" w:rsidRPr="00000000">
              <w:rPr>
                <w:rtl w:val="0"/>
              </w:rPr>
            </w:r>
          </w:p>
        </w:tc>
        <w:tc>
          <w:tcPr>
            <w:vAlign w:val="bottom"/>
          </w:tcPr>
          <w:p w:rsidR="00000000" w:rsidDel="00000000" w:rsidP="00000000" w:rsidRDefault="00000000" w:rsidRPr="00000000" w14:paraId="000000D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4.00</w:t>
            </w:r>
            <w:r w:rsidDel="00000000" w:rsidR="00000000" w:rsidRPr="00000000">
              <w:rPr>
                <w:rtl w:val="0"/>
              </w:rPr>
            </w:r>
          </w:p>
        </w:tc>
      </w:tr>
      <w:tr>
        <w:trPr>
          <w:cantSplit w:val="0"/>
          <w:tblHeader w:val="0"/>
        </w:trPr>
        <w:tc>
          <w:tcPr/>
          <w:p w:rsidR="00000000" w:rsidDel="00000000" w:rsidP="00000000" w:rsidRDefault="00000000" w:rsidRPr="00000000" w14:paraId="000000D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D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Sabah</w:t>
            </w:r>
            <w:r w:rsidDel="00000000" w:rsidR="00000000" w:rsidRPr="00000000">
              <w:rPr>
                <w:rtl w:val="0"/>
              </w:rPr>
            </w:r>
          </w:p>
        </w:tc>
        <w:tc>
          <w:tcPr>
            <w:vAlign w:val="bottom"/>
          </w:tcPr>
          <w:p w:rsidR="00000000" w:rsidDel="00000000" w:rsidP="00000000" w:rsidRDefault="00000000" w:rsidRPr="00000000" w14:paraId="000000D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15</w:t>
            </w:r>
            <w:r w:rsidDel="00000000" w:rsidR="00000000" w:rsidRPr="00000000">
              <w:rPr>
                <w:rtl w:val="0"/>
              </w:rPr>
            </w:r>
          </w:p>
        </w:tc>
        <w:tc>
          <w:tcPr>
            <w:vAlign w:val="bottom"/>
          </w:tcPr>
          <w:p w:rsidR="00000000" w:rsidDel="00000000" w:rsidP="00000000" w:rsidRDefault="00000000" w:rsidRPr="00000000" w14:paraId="000000E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10.10</w:t>
            </w:r>
            <w:r w:rsidDel="00000000" w:rsidR="00000000" w:rsidRPr="00000000">
              <w:rPr>
                <w:rtl w:val="0"/>
              </w:rPr>
            </w:r>
          </w:p>
        </w:tc>
      </w:tr>
      <w:tr>
        <w:trPr>
          <w:cantSplit w:val="0"/>
          <w:tblHeader w:val="0"/>
        </w:trPr>
        <w:tc>
          <w:tcPr/>
          <w:p w:rsidR="00000000" w:rsidDel="00000000" w:rsidP="00000000" w:rsidRDefault="00000000" w:rsidRPr="00000000" w14:paraId="000000E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E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Sarawak</w:t>
            </w:r>
            <w:r w:rsidDel="00000000" w:rsidR="00000000" w:rsidRPr="00000000">
              <w:rPr>
                <w:rtl w:val="0"/>
              </w:rPr>
            </w:r>
          </w:p>
        </w:tc>
        <w:tc>
          <w:tcPr>
            <w:vAlign w:val="bottom"/>
          </w:tcPr>
          <w:p w:rsidR="00000000" w:rsidDel="00000000" w:rsidP="00000000" w:rsidRDefault="00000000" w:rsidRPr="00000000" w14:paraId="000000E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w:t>
            </w:r>
            <w:r w:rsidDel="00000000" w:rsidR="00000000" w:rsidRPr="00000000">
              <w:rPr>
                <w:rtl w:val="0"/>
              </w:rPr>
            </w:r>
          </w:p>
        </w:tc>
        <w:tc>
          <w:tcPr>
            <w:vAlign w:val="bottom"/>
          </w:tcPr>
          <w:p w:rsidR="00000000" w:rsidDel="00000000" w:rsidP="00000000" w:rsidRDefault="00000000" w:rsidRPr="00000000" w14:paraId="000000E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4.00</w:t>
            </w:r>
            <w:r w:rsidDel="00000000" w:rsidR="00000000" w:rsidRPr="00000000">
              <w:rPr>
                <w:rtl w:val="0"/>
              </w:rPr>
            </w:r>
          </w:p>
        </w:tc>
      </w:tr>
      <w:tr>
        <w:trPr>
          <w:cantSplit w:val="0"/>
          <w:tblHeader w:val="0"/>
        </w:trPr>
        <w:tc>
          <w:tcPr/>
          <w:p w:rsidR="00000000" w:rsidDel="00000000" w:rsidP="00000000" w:rsidRDefault="00000000" w:rsidRPr="00000000" w14:paraId="000000E5">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E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Selangor</w:t>
            </w:r>
            <w:r w:rsidDel="00000000" w:rsidR="00000000" w:rsidRPr="00000000">
              <w:rPr>
                <w:rtl w:val="0"/>
              </w:rPr>
            </w:r>
          </w:p>
        </w:tc>
        <w:tc>
          <w:tcPr>
            <w:vAlign w:val="bottom"/>
          </w:tcPr>
          <w:p w:rsidR="00000000" w:rsidDel="00000000" w:rsidP="00000000" w:rsidRDefault="00000000" w:rsidRPr="00000000" w14:paraId="000000E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45</w:t>
            </w:r>
            <w:r w:rsidDel="00000000" w:rsidR="00000000" w:rsidRPr="00000000">
              <w:rPr>
                <w:rtl w:val="0"/>
              </w:rPr>
            </w:r>
          </w:p>
        </w:tc>
        <w:tc>
          <w:tcPr>
            <w:vAlign w:val="bottom"/>
          </w:tcPr>
          <w:p w:rsidR="00000000" w:rsidDel="00000000" w:rsidP="00000000" w:rsidRDefault="00000000" w:rsidRPr="00000000" w14:paraId="000000E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30.20</w:t>
            </w:r>
            <w:r w:rsidDel="00000000" w:rsidR="00000000" w:rsidRPr="00000000">
              <w:rPr>
                <w:rtl w:val="0"/>
              </w:rPr>
            </w:r>
          </w:p>
        </w:tc>
      </w:tr>
      <w:tr>
        <w:trPr>
          <w:cantSplit w:val="0"/>
          <w:tblHeader w:val="0"/>
        </w:trPr>
        <w:tc>
          <w:tcPr/>
          <w:p w:rsidR="00000000" w:rsidDel="00000000" w:rsidP="00000000" w:rsidRDefault="00000000" w:rsidRPr="00000000" w14:paraId="000000E9">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E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Terengganu</w:t>
            </w:r>
            <w:r w:rsidDel="00000000" w:rsidR="00000000" w:rsidRPr="00000000">
              <w:rPr>
                <w:rtl w:val="0"/>
              </w:rPr>
            </w:r>
          </w:p>
        </w:tc>
        <w:tc>
          <w:tcPr>
            <w:vAlign w:val="bottom"/>
          </w:tcPr>
          <w:p w:rsidR="00000000" w:rsidDel="00000000" w:rsidP="00000000" w:rsidRDefault="00000000" w:rsidRPr="00000000" w14:paraId="000000E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5</w:t>
            </w:r>
            <w:r w:rsidDel="00000000" w:rsidR="00000000" w:rsidRPr="00000000">
              <w:rPr>
                <w:rtl w:val="0"/>
              </w:rPr>
            </w:r>
          </w:p>
        </w:tc>
        <w:tc>
          <w:tcPr>
            <w:vAlign w:val="bottom"/>
          </w:tcPr>
          <w:p w:rsidR="00000000" w:rsidDel="00000000" w:rsidP="00000000" w:rsidRDefault="00000000" w:rsidRPr="00000000" w14:paraId="000000E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3.40</w:t>
            </w:r>
            <w:r w:rsidDel="00000000" w:rsidR="00000000" w:rsidRPr="00000000">
              <w:rPr>
                <w:rtl w:val="0"/>
              </w:rPr>
            </w:r>
          </w:p>
        </w:tc>
      </w:tr>
      <w:tr>
        <w:trPr>
          <w:cantSplit w:val="0"/>
          <w:tblHeader w:val="0"/>
        </w:trPr>
        <w:tc>
          <w:tcPr/>
          <w:p w:rsidR="00000000" w:rsidDel="00000000" w:rsidP="00000000" w:rsidRDefault="00000000" w:rsidRPr="00000000" w14:paraId="000000E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E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Kuala Lumpur</w:t>
            </w:r>
            <w:r w:rsidDel="00000000" w:rsidR="00000000" w:rsidRPr="00000000">
              <w:rPr>
                <w:rtl w:val="0"/>
              </w:rPr>
            </w:r>
          </w:p>
        </w:tc>
        <w:tc>
          <w:tcPr>
            <w:vAlign w:val="bottom"/>
          </w:tcPr>
          <w:p w:rsidR="00000000" w:rsidDel="00000000" w:rsidP="00000000" w:rsidRDefault="00000000" w:rsidRPr="00000000" w14:paraId="000000E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21</w:t>
            </w:r>
            <w:r w:rsidDel="00000000" w:rsidR="00000000" w:rsidRPr="00000000">
              <w:rPr>
                <w:rtl w:val="0"/>
              </w:rPr>
            </w:r>
          </w:p>
        </w:tc>
        <w:tc>
          <w:tcPr>
            <w:vAlign w:val="bottom"/>
          </w:tcPr>
          <w:p w:rsidR="00000000" w:rsidDel="00000000" w:rsidP="00000000" w:rsidRDefault="00000000" w:rsidRPr="00000000" w14:paraId="000000F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14.10</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1">
            <w:pPr>
              <w:spacing w:after="4" w:before="4" w:lineRule="auto"/>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0F2">
            <w:pPr>
              <w:spacing w:after="4" w:before="4"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Total</w:t>
            </w:r>
          </w:p>
        </w:tc>
        <w:tc>
          <w:tcPr>
            <w:shd w:fill="d9d9d9" w:val="clear"/>
          </w:tcPr>
          <w:p w:rsidR="00000000" w:rsidDel="00000000" w:rsidP="00000000" w:rsidRDefault="00000000" w:rsidRPr="00000000" w14:paraId="000000F3">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c>
          <w:tcPr>
            <w:shd w:fill="d9d9d9" w:val="clear"/>
          </w:tcPr>
          <w:p w:rsidR="00000000" w:rsidDel="00000000" w:rsidP="00000000" w:rsidRDefault="00000000" w:rsidRPr="00000000" w14:paraId="000000F4">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100</w:t>
            </w:r>
          </w:p>
        </w:tc>
      </w:tr>
      <w:tr>
        <w:trPr>
          <w:cantSplit w:val="0"/>
          <w:tblHeader w:val="0"/>
        </w:trPr>
        <w:tc>
          <w:tcPr/>
          <w:p w:rsidR="00000000" w:rsidDel="00000000" w:rsidP="00000000" w:rsidRDefault="00000000" w:rsidRPr="00000000" w14:paraId="000000F5">
            <w:pPr>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Year of Study </w:t>
            </w:r>
          </w:p>
        </w:tc>
        <w:tc>
          <w:tcPr>
            <w:vAlign w:val="bottom"/>
          </w:tcPr>
          <w:p w:rsidR="00000000" w:rsidDel="00000000" w:rsidP="00000000" w:rsidRDefault="00000000" w:rsidRPr="00000000" w14:paraId="000000F6">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w:t>
            </w:r>
            <w:r w:rsidDel="00000000" w:rsidR="00000000" w:rsidRPr="00000000">
              <w:rPr>
                <w:rtl w:val="0"/>
              </w:rPr>
            </w:r>
          </w:p>
        </w:tc>
        <w:tc>
          <w:tcPr>
            <w:vAlign w:val="bottom"/>
          </w:tcPr>
          <w:p w:rsidR="00000000" w:rsidDel="00000000" w:rsidP="00000000" w:rsidRDefault="00000000" w:rsidRPr="00000000" w14:paraId="000000F7">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19</w:t>
            </w:r>
            <w:r w:rsidDel="00000000" w:rsidR="00000000" w:rsidRPr="00000000">
              <w:rPr>
                <w:rtl w:val="0"/>
              </w:rPr>
            </w:r>
          </w:p>
        </w:tc>
        <w:tc>
          <w:tcPr>
            <w:vAlign w:val="bottom"/>
          </w:tcPr>
          <w:p w:rsidR="00000000" w:rsidDel="00000000" w:rsidP="00000000" w:rsidRDefault="00000000" w:rsidRPr="00000000" w14:paraId="000000F8">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12.80</w:t>
            </w:r>
            <w:r w:rsidDel="00000000" w:rsidR="00000000" w:rsidRPr="00000000">
              <w:rPr>
                <w:rtl w:val="0"/>
              </w:rPr>
            </w:r>
          </w:p>
        </w:tc>
      </w:tr>
      <w:tr>
        <w:trPr>
          <w:cantSplit w:val="0"/>
          <w:tblHeader w:val="0"/>
        </w:trPr>
        <w:tc>
          <w:tcPr/>
          <w:p w:rsidR="00000000" w:rsidDel="00000000" w:rsidP="00000000" w:rsidRDefault="00000000" w:rsidRPr="00000000" w14:paraId="000000F9">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FA">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w:t>
            </w:r>
            <w:r w:rsidDel="00000000" w:rsidR="00000000" w:rsidRPr="00000000">
              <w:rPr>
                <w:rtl w:val="0"/>
              </w:rPr>
            </w:r>
          </w:p>
        </w:tc>
        <w:tc>
          <w:tcPr>
            <w:vAlign w:val="bottom"/>
          </w:tcPr>
          <w:p w:rsidR="00000000" w:rsidDel="00000000" w:rsidP="00000000" w:rsidRDefault="00000000" w:rsidRPr="00000000" w14:paraId="000000FB">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35</w:t>
            </w:r>
            <w:r w:rsidDel="00000000" w:rsidR="00000000" w:rsidRPr="00000000">
              <w:rPr>
                <w:rtl w:val="0"/>
              </w:rPr>
            </w:r>
          </w:p>
        </w:tc>
        <w:tc>
          <w:tcPr>
            <w:vAlign w:val="bottom"/>
          </w:tcPr>
          <w:p w:rsidR="00000000" w:rsidDel="00000000" w:rsidP="00000000" w:rsidRDefault="00000000" w:rsidRPr="00000000" w14:paraId="000000FC">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23.50</w:t>
            </w:r>
            <w:r w:rsidDel="00000000" w:rsidR="00000000" w:rsidRPr="00000000">
              <w:rPr>
                <w:rtl w:val="0"/>
              </w:rPr>
            </w:r>
          </w:p>
        </w:tc>
      </w:tr>
      <w:tr>
        <w:trPr>
          <w:cantSplit w:val="0"/>
          <w:tblHeader w:val="0"/>
        </w:trPr>
        <w:tc>
          <w:tcPr/>
          <w:p w:rsidR="00000000" w:rsidDel="00000000" w:rsidP="00000000" w:rsidRDefault="00000000" w:rsidRPr="00000000" w14:paraId="000000FD">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FE">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w:t>
            </w:r>
            <w:r w:rsidDel="00000000" w:rsidR="00000000" w:rsidRPr="00000000">
              <w:rPr>
                <w:rtl w:val="0"/>
              </w:rPr>
            </w:r>
          </w:p>
        </w:tc>
        <w:tc>
          <w:tcPr>
            <w:vAlign w:val="bottom"/>
          </w:tcPr>
          <w:p w:rsidR="00000000" w:rsidDel="00000000" w:rsidP="00000000" w:rsidRDefault="00000000" w:rsidRPr="00000000" w14:paraId="000000FF">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38</w:t>
            </w:r>
            <w:r w:rsidDel="00000000" w:rsidR="00000000" w:rsidRPr="00000000">
              <w:rPr>
                <w:rtl w:val="0"/>
              </w:rPr>
            </w:r>
          </w:p>
        </w:tc>
        <w:tc>
          <w:tcPr>
            <w:vAlign w:val="bottom"/>
          </w:tcPr>
          <w:p w:rsidR="00000000" w:rsidDel="00000000" w:rsidP="00000000" w:rsidRDefault="00000000" w:rsidRPr="00000000" w14:paraId="00000100">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25.50</w:t>
            </w:r>
            <w:r w:rsidDel="00000000" w:rsidR="00000000" w:rsidRPr="00000000">
              <w:rPr>
                <w:rtl w:val="0"/>
              </w:rPr>
            </w:r>
          </w:p>
        </w:tc>
      </w:tr>
      <w:tr>
        <w:trPr>
          <w:cantSplit w:val="0"/>
          <w:tblHeader w:val="0"/>
        </w:trPr>
        <w:tc>
          <w:tcPr/>
          <w:p w:rsidR="00000000" w:rsidDel="00000000" w:rsidP="00000000" w:rsidRDefault="00000000" w:rsidRPr="00000000" w14:paraId="00000101">
            <w:pPr>
              <w:spacing w:after="4" w:before="4"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02">
            <w:pPr>
              <w:widowControl w:val="1"/>
              <w:spacing w:after="4" w:before="4"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w:t>
            </w:r>
            <w:r w:rsidDel="00000000" w:rsidR="00000000" w:rsidRPr="00000000">
              <w:rPr>
                <w:rtl w:val="0"/>
              </w:rPr>
            </w:r>
          </w:p>
        </w:tc>
        <w:tc>
          <w:tcPr>
            <w:vAlign w:val="bottom"/>
          </w:tcPr>
          <w:p w:rsidR="00000000" w:rsidDel="00000000" w:rsidP="00000000" w:rsidRDefault="00000000" w:rsidRPr="00000000" w14:paraId="00000103">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57</w:t>
            </w:r>
            <w:r w:rsidDel="00000000" w:rsidR="00000000" w:rsidRPr="00000000">
              <w:rPr>
                <w:rtl w:val="0"/>
              </w:rPr>
            </w:r>
          </w:p>
        </w:tc>
        <w:tc>
          <w:tcPr>
            <w:vAlign w:val="bottom"/>
          </w:tcPr>
          <w:p w:rsidR="00000000" w:rsidDel="00000000" w:rsidP="00000000" w:rsidRDefault="00000000" w:rsidRPr="00000000" w14:paraId="00000104">
            <w:pPr>
              <w:widowControl w:val="1"/>
              <w:spacing w:after="4" w:before="4"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38.30</w:t>
            </w: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105">
            <w:pPr>
              <w:spacing w:after="4" w:before="4" w:lineRule="auto"/>
              <w:rPr>
                <w:rFonts w:ascii="Book Antiqua" w:cs="Book Antiqua" w:eastAsia="Book Antiqua" w:hAnsi="Book Antiqua"/>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106">
            <w:pPr>
              <w:spacing w:after="4" w:before="4"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Total</w:t>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107">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108">
            <w:pPr>
              <w:spacing w:after="4" w:before="4"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100</w:t>
            </w:r>
          </w:p>
        </w:tc>
      </w:tr>
    </w:tbl>
    <w:p w:rsidR="00000000" w:rsidDel="00000000" w:rsidP="00000000" w:rsidRDefault="00000000" w:rsidRPr="00000000" w14:paraId="00000109">
      <w:pPr>
        <w:jc w:val="both"/>
        <w:rPr>
          <w:color w:val="000000"/>
          <w:sz w:val="22"/>
          <w:szCs w:val="22"/>
        </w:rPr>
      </w:pPr>
      <w:r w:rsidDel="00000000" w:rsidR="00000000" w:rsidRPr="00000000">
        <w:rPr>
          <w:rtl w:val="0"/>
        </w:rPr>
      </w:r>
    </w:p>
    <w:p w:rsidR="00000000" w:rsidDel="00000000" w:rsidP="00000000" w:rsidRDefault="00000000" w:rsidRPr="00000000" w14:paraId="0000010A">
      <w:pPr>
        <w:jc w:val="both"/>
        <w:rPr>
          <w:color w:val="000000"/>
          <w:sz w:val="22"/>
          <w:szCs w:val="22"/>
        </w:rPr>
      </w:pPr>
      <w:r w:rsidDel="00000000" w:rsidR="00000000" w:rsidRPr="00000000">
        <w:rPr>
          <w:rtl w:val="0"/>
        </w:rPr>
      </w:r>
    </w:p>
    <w:p w:rsidR="00000000" w:rsidDel="00000000" w:rsidP="00000000" w:rsidRDefault="00000000" w:rsidRPr="00000000" w14:paraId="0000010B">
      <w:pPr>
        <w:jc w:val="both"/>
        <w:rPr>
          <w:b w:val="1"/>
          <w:color w:val="000000"/>
          <w:sz w:val="22"/>
          <w:szCs w:val="22"/>
        </w:rPr>
      </w:pPr>
      <w:r w:rsidDel="00000000" w:rsidR="00000000" w:rsidRPr="00000000">
        <w:rPr>
          <w:rtl w:val="0"/>
        </w:rPr>
      </w:r>
    </w:p>
    <w:p w:rsidR="00000000" w:rsidDel="00000000" w:rsidP="00000000" w:rsidRDefault="00000000" w:rsidRPr="00000000" w14:paraId="0000010C">
      <w:pPr>
        <w:jc w:val="both"/>
        <w:rPr>
          <w:b w:val="1"/>
          <w:color w:val="000000"/>
          <w:sz w:val="22"/>
          <w:szCs w:val="22"/>
        </w:rPr>
      </w:pPr>
      <w:r w:rsidDel="00000000" w:rsidR="00000000" w:rsidRPr="00000000">
        <w:rPr>
          <w:rtl w:val="0"/>
        </w:rPr>
      </w:r>
    </w:p>
    <w:p w:rsidR="00000000" w:rsidDel="00000000" w:rsidP="00000000" w:rsidRDefault="00000000" w:rsidRPr="00000000" w14:paraId="0000010D">
      <w:pPr>
        <w:jc w:val="both"/>
        <w:rPr>
          <w:b w:val="1"/>
          <w:color w:val="000000"/>
          <w:sz w:val="22"/>
          <w:szCs w:val="22"/>
        </w:rPr>
      </w:pPr>
      <w:r w:rsidDel="00000000" w:rsidR="00000000" w:rsidRPr="00000000">
        <w:rPr>
          <w:b w:val="1"/>
          <w:color w:val="000000"/>
          <w:sz w:val="22"/>
          <w:szCs w:val="22"/>
          <w:rtl w:val="0"/>
        </w:rPr>
        <w:t xml:space="preserve">Preliminary Analysis</w:t>
      </w:r>
    </w:p>
    <w:p w:rsidR="00000000" w:rsidDel="00000000" w:rsidP="00000000" w:rsidRDefault="00000000" w:rsidRPr="00000000" w14:paraId="0000010E">
      <w:pPr>
        <w:jc w:val="both"/>
        <w:rPr>
          <w:color w:val="000000"/>
          <w:sz w:val="22"/>
          <w:szCs w:val="22"/>
        </w:rPr>
      </w:pPr>
      <w:r w:rsidDel="00000000" w:rsidR="00000000" w:rsidRPr="00000000">
        <w:rPr>
          <w:rtl w:val="0"/>
        </w:rPr>
      </w:r>
    </w:p>
    <w:p w:rsidR="00000000" w:rsidDel="00000000" w:rsidP="00000000" w:rsidRDefault="00000000" w:rsidRPr="00000000" w14:paraId="0000010F">
      <w:pPr>
        <w:jc w:val="both"/>
        <w:rPr>
          <w:color w:val="000000"/>
          <w:sz w:val="22"/>
          <w:szCs w:val="22"/>
        </w:rPr>
      </w:pPr>
      <w:r w:rsidDel="00000000" w:rsidR="00000000" w:rsidRPr="00000000">
        <w:rPr>
          <w:color w:val="000000"/>
          <w:sz w:val="22"/>
          <w:szCs w:val="22"/>
          <w:rtl w:val="0"/>
        </w:rPr>
        <w:t xml:space="preserve">To fulfil the requirements to perform regression analyses, the assumptions regarding normality, multicollinearity, homoscedasticity, and influential outliers were examined. Table 2 shows that the mean, standard deviations, skewness and kurtosis of the measured variables are within the acceptable cut-off values between -3 and 3 for skewness and -10 and 10 for kurtosis, as recommended by Brown (2015). The results of the P-P plot also demonstrate a normal distribution of residuals where the points form a straight line.</w:t>
      </w:r>
    </w:p>
    <w:p w:rsidR="00000000" w:rsidDel="00000000" w:rsidP="00000000" w:rsidRDefault="00000000" w:rsidRPr="00000000" w14:paraId="00000110">
      <w:pPr>
        <w:jc w:val="both"/>
        <w:rPr>
          <w:color w:val="000000"/>
          <w:sz w:val="22"/>
          <w:szCs w:val="22"/>
        </w:rPr>
      </w:pPr>
      <w:r w:rsidDel="00000000" w:rsidR="00000000" w:rsidRPr="00000000">
        <w:rPr>
          <w:rtl w:val="0"/>
        </w:rPr>
      </w:r>
    </w:p>
    <w:p w:rsidR="00000000" w:rsidDel="00000000" w:rsidP="00000000" w:rsidRDefault="00000000" w:rsidRPr="00000000" w14:paraId="00000111">
      <w:pPr>
        <w:ind w:firstLine="720"/>
        <w:jc w:val="both"/>
        <w:rPr>
          <w:color w:val="000000"/>
          <w:sz w:val="22"/>
          <w:szCs w:val="22"/>
        </w:rPr>
      </w:pPr>
      <w:r w:rsidDel="00000000" w:rsidR="00000000" w:rsidRPr="00000000">
        <w:rPr>
          <w:color w:val="000000"/>
          <w:sz w:val="22"/>
          <w:szCs w:val="22"/>
          <w:rtl w:val="0"/>
        </w:rPr>
        <w:t xml:space="preserve">Next, the variance inflation factor (VIF) and tolerance values were examined to ensure the variables are not highly intercorrelated or exhibit multicollinearity. Results show that the tolerance values are all above the cut-off value of 0.1 (Hair et al., 2019), and the VIF values are all less than 5 (Hair et al., 2019), indicating no multicollinearity in the data. The results also show that the Durbin-Watson value of 1.611 obtained in this study is close to 2, with the plot of standardised residuals versus standardised predicted values showing no apparent signs of funnelling, as Field (2018) recommended. Therefore, the assumption for homoscedasticity is not violated. </w:t>
      </w:r>
    </w:p>
    <w:p w:rsidR="00000000" w:rsidDel="00000000" w:rsidP="00000000" w:rsidRDefault="00000000" w:rsidRPr="00000000" w14:paraId="00000112">
      <w:pPr>
        <w:ind w:firstLine="720"/>
        <w:jc w:val="both"/>
        <w:rPr>
          <w:color w:val="000000"/>
          <w:sz w:val="22"/>
          <w:szCs w:val="22"/>
        </w:rPr>
      </w:pPr>
      <w:r w:rsidDel="00000000" w:rsidR="00000000" w:rsidRPr="00000000">
        <w:rPr>
          <w:rtl w:val="0"/>
        </w:rPr>
      </w:r>
    </w:p>
    <w:p w:rsidR="00000000" w:rsidDel="00000000" w:rsidP="00000000" w:rsidRDefault="00000000" w:rsidRPr="00000000" w14:paraId="00000113">
      <w:pPr>
        <w:ind w:firstLine="720"/>
        <w:jc w:val="both"/>
        <w:rPr>
          <w:color w:val="000000"/>
          <w:sz w:val="22"/>
          <w:szCs w:val="22"/>
        </w:rPr>
      </w:pPr>
      <w:r w:rsidDel="00000000" w:rsidR="00000000" w:rsidRPr="00000000">
        <w:rPr>
          <w:color w:val="000000"/>
          <w:sz w:val="22"/>
          <w:szCs w:val="22"/>
          <w:rtl w:val="0"/>
        </w:rPr>
        <w:t xml:space="preserve">Finally, Cook's distance was examined to ensure that no one case has a disproportionate influence on the regression model. The maximum value of Cook's distance in the data is .152, which is less than the criterion of 1 (Tabachnick &amp; Fidell, 2017), demonstrating that no case has such a significant effect that they might distort the overall results of the regression.</w:t>
      </w:r>
    </w:p>
    <w:p w:rsidR="00000000" w:rsidDel="00000000" w:rsidP="00000000" w:rsidRDefault="00000000" w:rsidRPr="00000000" w14:paraId="00000114">
      <w:pPr>
        <w:ind w:firstLine="720"/>
        <w:jc w:val="both"/>
        <w:rPr>
          <w:color w:val="000000"/>
          <w:sz w:val="22"/>
          <w:szCs w:val="22"/>
        </w:rPr>
      </w:pPr>
      <w:r w:rsidDel="00000000" w:rsidR="00000000" w:rsidRPr="00000000">
        <w:rPr>
          <w:rtl w:val="0"/>
        </w:rPr>
      </w:r>
    </w:p>
    <w:p w:rsidR="00000000" w:rsidDel="00000000" w:rsidP="00000000" w:rsidRDefault="00000000" w:rsidRPr="00000000" w14:paraId="00000115">
      <w:pPr>
        <w:jc w:val="both"/>
        <w:rPr>
          <w:color w:val="000000"/>
          <w:sz w:val="22"/>
          <w:szCs w:val="22"/>
        </w:rPr>
      </w:pPr>
      <w:r w:rsidDel="00000000" w:rsidR="00000000" w:rsidRPr="00000000">
        <w:rPr>
          <w:rtl w:val="0"/>
        </w:rPr>
      </w:r>
    </w:p>
    <w:p w:rsidR="00000000" w:rsidDel="00000000" w:rsidP="00000000" w:rsidRDefault="00000000" w:rsidRPr="00000000" w14:paraId="00000116">
      <w:pPr>
        <w:rPr>
          <w:b w:val="1"/>
          <w:color w:val="000000"/>
          <w:sz w:val="22"/>
          <w:szCs w:val="22"/>
        </w:rPr>
      </w:pPr>
      <w:r w:rsidDel="00000000" w:rsidR="00000000" w:rsidRPr="00000000">
        <w:rPr>
          <w:b w:val="1"/>
          <w:color w:val="000000"/>
          <w:sz w:val="22"/>
          <w:szCs w:val="22"/>
          <w:rtl w:val="0"/>
        </w:rPr>
        <w:t xml:space="preserve">Table 2</w:t>
      </w:r>
    </w:p>
    <w:p w:rsidR="00000000" w:rsidDel="00000000" w:rsidP="00000000" w:rsidRDefault="00000000" w:rsidRPr="00000000" w14:paraId="00000117">
      <w:pPr>
        <w:rPr>
          <w:b w:val="1"/>
          <w:color w:val="000000"/>
        </w:rPr>
      </w:pPr>
      <w:r w:rsidDel="00000000" w:rsidR="00000000" w:rsidRPr="00000000">
        <w:rPr>
          <w:rtl w:val="0"/>
        </w:rPr>
      </w:r>
    </w:p>
    <w:p w:rsidR="00000000" w:rsidDel="00000000" w:rsidP="00000000" w:rsidRDefault="00000000" w:rsidRPr="00000000" w14:paraId="00000118">
      <w:pPr>
        <w:rPr>
          <w:i w:val="1"/>
          <w:color w:val="000000"/>
        </w:rPr>
      </w:pPr>
      <w:r w:rsidDel="00000000" w:rsidR="00000000" w:rsidRPr="00000000">
        <w:rPr>
          <w:i w:val="1"/>
          <w:color w:val="000000"/>
          <w:rtl w:val="0"/>
        </w:rPr>
        <w:t xml:space="preserve">Descriptive statistics and correlations for study variables (n = 149)</w:t>
      </w:r>
    </w:p>
    <w:p w:rsidR="00000000" w:rsidDel="00000000" w:rsidP="00000000" w:rsidRDefault="00000000" w:rsidRPr="00000000" w14:paraId="00000119">
      <w:pPr>
        <w:jc w:val="both"/>
        <w:rPr>
          <w:color w:val="ff0000"/>
          <w:sz w:val="22"/>
          <w:szCs w:val="22"/>
        </w:rPr>
      </w:pPr>
      <w:r w:rsidDel="00000000" w:rsidR="00000000" w:rsidRPr="00000000">
        <w:rPr>
          <w:rtl w:val="0"/>
        </w:rPr>
      </w:r>
    </w:p>
    <w:tbl>
      <w:tblPr>
        <w:tblStyle w:val="Table2"/>
        <w:tblW w:w="8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2693"/>
        <w:gridCol w:w="1316"/>
        <w:gridCol w:w="1317"/>
        <w:gridCol w:w="1316"/>
        <w:gridCol w:w="1317"/>
        <w:tblGridChange w:id="0">
          <w:tblGrid>
            <w:gridCol w:w="561"/>
            <w:gridCol w:w="2693"/>
            <w:gridCol w:w="1316"/>
            <w:gridCol w:w="1317"/>
            <w:gridCol w:w="1316"/>
            <w:gridCol w:w="1317"/>
          </w:tblGrid>
        </w:tblGridChange>
      </w:tblGrid>
      <w:tr>
        <w:trPr>
          <w:cantSplit w:val="0"/>
          <w:tblHeader w:val="0"/>
        </w:trPr>
        <w:tc>
          <w:tcPr>
            <w:gridSpan w:val="2"/>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1A">
            <w:pPr>
              <w:spacing w:after="48.00000000000001" w:before="48.00000000000001"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Variable</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1C">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1D">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2</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1E">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1F">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w:t>
            </w:r>
          </w:p>
        </w:tc>
      </w:tr>
      <w:tr>
        <w:trPr>
          <w:cantSplit w:val="0"/>
          <w:trHeight w:val="9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0">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1">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Binge-watching</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2">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3">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4">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.42**</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5">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.31**</w:t>
            </w:r>
          </w:p>
        </w:tc>
      </w:tr>
      <w:tr>
        <w:trPr>
          <w:cantSplit w:val="0"/>
          <w:trHeight w:val="90" w:hRule="atLeast"/>
          <w:tblHeader w:val="0"/>
        </w:trPr>
        <w:tc>
          <w:tcPr/>
          <w:p w:rsidR="00000000" w:rsidDel="00000000" w:rsidP="00000000" w:rsidRDefault="00000000" w:rsidRPr="00000000" w14:paraId="00000126">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p>
        </w:tc>
        <w:tc>
          <w:tcPr/>
          <w:p w:rsidR="00000000" w:rsidDel="00000000" w:rsidP="00000000" w:rsidRDefault="00000000" w:rsidRPr="00000000" w14:paraId="00000127">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Perceived stress</w:t>
            </w:r>
          </w:p>
        </w:tc>
        <w:tc>
          <w:tcPr/>
          <w:p w:rsidR="00000000" w:rsidDel="00000000" w:rsidP="00000000" w:rsidRDefault="00000000" w:rsidRPr="00000000" w14:paraId="00000128">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29">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c>
          <w:tcPr/>
          <w:p w:rsidR="00000000" w:rsidDel="00000000" w:rsidP="00000000" w:rsidRDefault="00000000" w:rsidRPr="00000000" w14:paraId="0000012A">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.29**</w:t>
            </w:r>
          </w:p>
        </w:tc>
        <w:tc>
          <w:tcPr/>
          <w:p w:rsidR="00000000" w:rsidDel="00000000" w:rsidP="00000000" w:rsidRDefault="00000000" w:rsidRPr="00000000" w14:paraId="0000012B">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.48**</w:t>
            </w:r>
          </w:p>
        </w:tc>
      </w:tr>
      <w:tr>
        <w:trPr>
          <w:cantSplit w:val="0"/>
          <w:trHeight w:val="90" w:hRule="atLeast"/>
          <w:tblHeader w:val="0"/>
        </w:trPr>
        <w:tc>
          <w:tcPr/>
          <w:p w:rsidR="00000000" w:rsidDel="00000000" w:rsidP="00000000" w:rsidRDefault="00000000" w:rsidRPr="00000000" w14:paraId="0000012C">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p>
        </w:tc>
        <w:tc>
          <w:tcPr/>
          <w:p w:rsidR="00000000" w:rsidDel="00000000" w:rsidP="00000000" w:rsidRDefault="00000000" w:rsidRPr="00000000" w14:paraId="0000012D">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Social interaction anxiety</w:t>
            </w:r>
          </w:p>
        </w:tc>
        <w:tc>
          <w:tcPr/>
          <w:p w:rsidR="00000000" w:rsidDel="00000000" w:rsidP="00000000" w:rsidRDefault="00000000" w:rsidRPr="00000000" w14:paraId="0000012E">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2F">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0">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c>
          <w:tcPr/>
          <w:p w:rsidR="00000000" w:rsidDel="00000000" w:rsidP="00000000" w:rsidRDefault="00000000" w:rsidRPr="00000000" w14:paraId="00000131">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.56**</w:t>
            </w:r>
          </w:p>
        </w:tc>
      </w:tr>
      <w:tr>
        <w:trPr>
          <w:cantSplit w:val="0"/>
          <w:trHeight w:val="90" w:hRule="atLeast"/>
          <w:tblHeader w:val="0"/>
        </w:trPr>
        <w:tc>
          <w:tcPr/>
          <w:p w:rsidR="00000000" w:rsidDel="00000000" w:rsidP="00000000" w:rsidRDefault="00000000" w:rsidRPr="00000000" w14:paraId="00000132">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p>
        </w:tc>
        <w:tc>
          <w:tcPr/>
          <w:p w:rsidR="00000000" w:rsidDel="00000000" w:rsidP="00000000" w:rsidRDefault="00000000" w:rsidRPr="00000000" w14:paraId="00000133">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Loneliness</w:t>
            </w:r>
          </w:p>
        </w:tc>
        <w:tc>
          <w:tcPr/>
          <w:p w:rsidR="00000000" w:rsidDel="00000000" w:rsidP="00000000" w:rsidRDefault="00000000" w:rsidRPr="00000000" w14:paraId="00000134">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5">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6">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7">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r>
      <w:tr>
        <w:trPr>
          <w:cantSplit w:val="0"/>
          <w:trHeight w:val="90" w:hRule="atLeast"/>
          <w:tblHeader w:val="0"/>
        </w:trPr>
        <w:tc>
          <w:tcPr/>
          <w:p w:rsidR="00000000" w:rsidDel="00000000" w:rsidP="00000000" w:rsidRDefault="00000000" w:rsidRPr="00000000" w14:paraId="00000138">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9">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Cronbach’s alpha (</w:t>
            </w:r>
            <w:r w:rsidDel="00000000" w:rsidR="00000000" w:rsidRPr="00000000">
              <w:rPr>
                <w:rFonts w:ascii="Book Antiqua" w:cs="Book Antiqua" w:eastAsia="Book Antiqua" w:hAnsi="Book Antiqua"/>
                <w:i w:val="1"/>
                <w:rtl w:val="0"/>
              </w:rPr>
              <w:t xml:space="preserve">α</w:t>
            </w:r>
            <w:r w:rsidDel="00000000" w:rsidR="00000000" w:rsidRPr="00000000">
              <w:rPr>
                <w:rFonts w:ascii="Book Antiqua" w:cs="Book Antiqua" w:eastAsia="Book Antiqua" w:hAnsi="Book Antiqua"/>
                <w:rtl w:val="0"/>
              </w:rPr>
              <w:t xml:space="preserve">)</w:t>
            </w:r>
          </w:p>
        </w:tc>
        <w:tc>
          <w:tcPr/>
          <w:p w:rsidR="00000000" w:rsidDel="00000000" w:rsidP="00000000" w:rsidRDefault="00000000" w:rsidRPr="00000000" w14:paraId="0000013A">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.89</w:t>
            </w:r>
          </w:p>
        </w:tc>
        <w:tc>
          <w:tcPr/>
          <w:p w:rsidR="00000000" w:rsidDel="00000000" w:rsidP="00000000" w:rsidRDefault="00000000" w:rsidRPr="00000000" w14:paraId="0000013B">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.77</w:t>
            </w:r>
          </w:p>
        </w:tc>
        <w:tc>
          <w:tcPr/>
          <w:p w:rsidR="00000000" w:rsidDel="00000000" w:rsidP="00000000" w:rsidRDefault="00000000" w:rsidRPr="00000000" w14:paraId="0000013C">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.93</w:t>
            </w:r>
          </w:p>
        </w:tc>
        <w:tc>
          <w:tcPr/>
          <w:p w:rsidR="00000000" w:rsidDel="00000000" w:rsidP="00000000" w:rsidRDefault="00000000" w:rsidRPr="00000000" w14:paraId="0000013D">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.90</w:t>
            </w:r>
          </w:p>
        </w:tc>
      </w:tr>
      <w:tr>
        <w:trPr>
          <w:cantSplit w:val="0"/>
          <w:trHeight w:val="90" w:hRule="atLeast"/>
          <w:tblHeader w:val="0"/>
        </w:trPr>
        <w:tc>
          <w:tcPr/>
          <w:p w:rsidR="00000000" w:rsidDel="00000000" w:rsidP="00000000" w:rsidRDefault="00000000" w:rsidRPr="00000000" w14:paraId="0000013E">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3F">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Mean</w:t>
            </w:r>
          </w:p>
        </w:tc>
        <w:tc>
          <w:tcPr/>
          <w:p w:rsidR="00000000" w:rsidDel="00000000" w:rsidP="00000000" w:rsidRDefault="00000000" w:rsidRPr="00000000" w14:paraId="00000140">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40.85</w:t>
            </w:r>
          </w:p>
        </w:tc>
        <w:tc>
          <w:tcPr/>
          <w:p w:rsidR="00000000" w:rsidDel="00000000" w:rsidP="00000000" w:rsidRDefault="00000000" w:rsidRPr="00000000" w14:paraId="00000141">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21.45</w:t>
            </w:r>
          </w:p>
        </w:tc>
        <w:tc>
          <w:tcPr/>
          <w:p w:rsidR="00000000" w:rsidDel="00000000" w:rsidP="00000000" w:rsidRDefault="00000000" w:rsidRPr="00000000" w14:paraId="00000142">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39.02</w:t>
            </w:r>
          </w:p>
        </w:tc>
        <w:tc>
          <w:tcPr/>
          <w:p w:rsidR="00000000" w:rsidDel="00000000" w:rsidP="00000000" w:rsidRDefault="00000000" w:rsidRPr="00000000" w14:paraId="00000143">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49.38</w:t>
            </w:r>
          </w:p>
        </w:tc>
      </w:tr>
      <w:tr>
        <w:trPr>
          <w:cantSplit w:val="0"/>
          <w:trHeight w:val="90" w:hRule="atLeast"/>
          <w:tblHeader w:val="0"/>
        </w:trPr>
        <w:tc>
          <w:tcPr/>
          <w:p w:rsidR="00000000" w:rsidDel="00000000" w:rsidP="00000000" w:rsidRDefault="00000000" w:rsidRPr="00000000" w14:paraId="00000144">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45">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Standard deviation</w:t>
            </w:r>
          </w:p>
        </w:tc>
        <w:tc>
          <w:tcPr/>
          <w:p w:rsidR="00000000" w:rsidDel="00000000" w:rsidP="00000000" w:rsidRDefault="00000000" w:rsidRPr="00000000" w14:paraId="00000146">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13.37</w:t>
            </w:r>
          </w:p>
        </w:tc>
        <w:tc>
          <w:tcPr/>
          <w:p w:rsidR="00000000" w:rsidDel="00000000" w:rsidP="00000000" w:rsidRDefault="00000000" w:rsidRPr="00000000" w14:paraId="00000147">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5.88</w:t>
            </w:r>
          </w:p>
        </w:tc>
        <w:tc>
          <w:tcPr/>
          <w:p w:rsidR="00000000" w:rsidDel="00000000" w:rsidP="00000000" w:rsidRDefault="00000000" w:rsidRPr="00000000" w14:paraId="00000148">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15.09</w:t>
            </w:r>
          </w:p>
        </w:tc>
        <w:tc>
          <w:tcPr/>
          <w:p w:rsidR="00000000" w:rsidDel="00000000" w:rsidP="00000000" w:rsidRDefault="00000000" w:rsidRPr="00000000" w14:paraId="00000149">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10.62</w:t>
            </w:r>
          </w:p>
        </w:tc>
      </w:tr>
      <w:tr>
        <w:trPr>
          <w:cantSplit w:val="0"/>
          <w:trHeight w:val="90" w:hRule="atLeast"/>
          <w:tblHeader w:val="0"/>
        </w:trPr>
        <w:tc>
          <w:tcPr/>
          <w:p w:rsidR="00000000" w:rsidDel="00000000" w:rsidP="00000000" w:rsidRDefault="00000000" w:rsidRPr="00000000" w14:paraId="0000014A">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4B">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Skewness</w:t>
            </w:r>
          </w:p>
        </w:tc>
        <w:tc>
          <w:tcPr/>
          <w:p w:rsidR="00000000" w:rsidDel="00000000" w:rsidP="00000000" w:rsidRDefault="00000000" w:rsidRPr="00000000" w14:paraId="0000014C">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-.02</w:t>
            </w:r>
            <w:r w:rsidDel="00000000" w:rsidR="00000000" w:rsidRPr="00000000">
              <w:rPr>
                <w:rtl w:val="0"/>
              </w:rPr>
            </w:r>
          </w:p>
        </w:tc>
        <w:tc>
          <w:tcPr/>
          <w:p w:rsidR="00000000" w:rsidDel="00000000" w:rsidP="00000000" w:rsidRDefault="00000000" w:rsidRPr="00000000" w14:paraId="0000014D">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.32</w:t>
            </w:r>
            <w:r w:rsidDel="00000000" w:rsidR="00000000" w:rsidRPr="00000000">
              <w:rPr>
                <w:rtl w:val="0"/>
              </w:rPr>
            </w:r>
          </w:p>
        </w:tc>
        <w:tc>
          <w:tcPr/>
          <w:p w:rsidR="00000000" w:rsidDel="00000000" w:rsidP="00000000" w:rsidRDefault="00000000" w:rsidRPr="00000000" w14:paraId="0000014E">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-.18</w:t>
            </w:r>
            <w:r w:rsidDel="00000000" w:rsidR="00000000" w:rsidRPr="00000000">
              <w:rPr>
                <w:rtl w:val="0"/>
              </w:rPr>
            </w:r>
          </w:p>
        </w:tc>
        <w:tc>
          <w:tcPr/>
          <w:p w:rsidR="00000000" w:rsidDel="00000000" w:rsidP="00000000" w:rsidRDefault="00000000" w:rsidRPr="00000000" w14:paraId="0000014F">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-.15</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150">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51">
            <w:pPr>
              <w:spacing w:after="48.00000000000001" w:before="48.00000000000001"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Kurtosis</w:t>
            </w:r>
          </w:p>
        </w:tc>
        <w:tc>
          <w:tcPr/>
          <w:p w:rsidR="00000000" w:rsidDel="00000000" w:rsidP="00000000" w:rsidRDefault="00000000" w:rsidRPr="00000000" w14:paraId="00000152">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-.26</w:t>
            </w:r>
            <w:r w:rsidDel="00000000" w:rsidR="00000000" w:rsidRPr="00000000">
              <w:rPr>
                <w:rtl w:val="0"/>
              </w:rPr>
            </w:r>
          </w:p>
        </w:tc>
        <w:tc>
          <w:tcPr/>
          <w:p w:rsidR="00000000" w:rsidDel="00000000" w:rsidP="00000000" w:rsidRDefault="00000000" w:rsidRPr="00000000" w14:paraId="00000153">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1.59</w:t>
            </w:r>
            <w:r w:rsidDel="00000000" w:rsidR="00000000" w:rsidRPr="00000000">
              <w:rPr>
                <w:rtl w:val="0"/>
              </w:rPr>
            </w:r>
          </w:p>
        </w:tc>
        <w:tc>
          <w:tcPr/>
          <w:p w:rsidR="00000000" w:rsidDel="00000000" w:rsidP="00000000" w:rsidRDefault="00000000" w:rsidRPr="00000000" w14:paraId="00000154">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-.42</w:t>
            </w:r>
            <w:r w:rsidDel="00000000" w:rsidR="00000000" w:rsidRPr="00000000">
              <w:rPr>
                <w:rtl w:val="0"/>
              </w:rPr>
            </w:r>
          </w:p>
        </w:tc>
        <w:tc>
          <w:tcPr/>
          <w:p w:rsidR="00000000" w:rsidDel="00000000" w:rsidP="00000000" w:rsidRDefault="00000000" w:rsidRPr="00000000" w14:paraId="00000155">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.03</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156">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57">
            <w:pPr>
              <w:spacing w:after="48.00000000000001" w:before="48.00000000000001"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Tolerance</w:t>
            </w:r>
          </w:p>
        </w:tc>
        <w:tc>
          <w:tcPr/>
          <w:p w:rsidR="00000000" w:rsidDel="00000000" w:rsidP="00000000" w:rsidRDefault="00000000" w:rsidRPr="00000000" w14:paraId="00000158">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c>
          <w:tcPr/>
          <w:p w:rsidR="00000000" w:rsidDel="00000000" w:rsidP="00000000" w:rsidRDefault="00000000" w:rsidRPr="00000000" w14:paraId="00000159">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.77</w:t>
            </w:r>
            <w:r w:rsidDel="00000000" w:rsidR="00000000" w:rsidRPr="00000000">
              <w:rPr>
                <w:rtl w:val="0"/>
              </w:rPr>
            </w:r>
          </w:p>
        </w:tc>
        <w:tc>
          <w:tcPr/>
          <w:p w:rsidR="00000000" w:rsidDel="00000000" w:rsidP="00000000" w:rsidRDefault="00000000" w:rsidRPr="00000000" w14:paraId="0000015A">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.69</w:t>
            </w:r>
            <w:r w:rsidDel="00000000" w:rsidR="00000000" w:rsidRPr="00000000">
              <w:rPr>
                <w:rtl w:val="0"/>
              </w:rPr>
            </w:r>
          </w:p>
        </w:tc>
        <w:tc>
          <w:tcPr/>
          <w:p w:rsidR="00000000" w:rsidDel="00000000" w:rsidP="00000000" w:rsidRDefault="00000000" w:rsidRPr="00000000" w14:paraId="0000015B">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.58</w:t>
            </w:r>
            <w:r w:rsidDel="00000000" w:rsidR="00000000" w:rsidRPr="00000000">
              <w:rPr>
                <w:rtl w:val="0"/>
              </w:rPr>
            </w:r>
          </w:p>
        </w:tc>
      </w:tr>
      <w:tr>
        <w:trPr>
          <w:cantSplit w:val="0"/>
          <w:trHeight w:val="9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C">
            <w:pPr>
              <w:spacing w:after="48.00000000000001" w:before="48.00000000000001" w:lineRule="auto"/>
              <w:jc w:val="center"/>
              <w:rPr>
                <w:rFonts w:ascii="Book Antiqua" w:cs="Book Antiqua" w:eastAsia="Book Antiqua" w:hAnsi="Book Antiqua"/>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D">
            <w:pPr>
              <w:spacing w:after="48.00000000000001" w:before="48.00000000000001"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Variance inflation factor (VIF)</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E">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F">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1.30</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0">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1.45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1">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1.73</w:t>
            </w:r>
            <w:r w:rsidDel="00000000" w:rsidR="00000000" w:rsidRPr="00000000">
              <w:rPr>
                <w:rtl w:val="0"/>
              </w:rPr>
            </w:r>
          </w:p>
        </w:tc>
      </w:tr>
      <w:tr>
        <w:trPr>
          <w:cantSplit w:val="0"/>
          <w:trHeight w:val="90" w:hRule="atLeast"/>
          <w:tblHeader w:val="0"/>
        </w:trPr>
        <w:tc>
          <w:tcPr>
            <w:gridSpan w:val="6"/>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2">
            <w:pPr>
              <w:spacing w:after="48.00000000000001" w:before="48.00000000000001"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Correlation is significant at the 0.01 level (2-tailed).</w:t>
            </w:r>
          </w:p>
        </w:tc>
      </w:tr>
    </w:tbl>
    <w:p w:rsidR="00000000" w:rsidDel="00000000" w:rsidP="00000000" w:rsidRDefault="00000000" w:rsidRPr="00000000" w14:paraId="00000168">
      <w:pPr>
        <w:jc w:val="both"/>
        <w:rPr>
          <w:color w:val="ff0000"/>
          <w:sz w:val="22"/>
          <w:szCs w:val="22"/>
        </w:rPr>
      </w:pPr>
      <w:r w:rsidDel="00000000" w:rsidR="00000000" w:rsidRPr="00000000">
        <w:rPr>
          <w:rtl w:val="0"/>
        </w:rPr>
      </w:r>
    </w:p>
    <w:p w:rsidR="00000000" w:rsidDel="00000000" w:rsidP="00000000" w:rsidRDefault="00000000" w:rsidRPr="00000000" w14:paraId="00000169">
      <w:pPr>
        <w:jc w:val="both"/>
        <w:rPr>
          <w:b w:val="1"/>
          <w:sz w:val="22"/>
          <w:szCs w:val="22"/>
        </w:rPr>
      </w:pPr>
      <w:r w:rsidDel="00000000" w:rsidR="00000000" w:rsidRPr="00000000">
        <w:rPr>
          <w:rtl w:val="0"/>
        </w:rPr>
      </w:r>
    </w:p>
    <w:p w:rsidR="00000000" w:rsidDel="00000000" w:rsidP="00000000" w:rsidRDefault="00000000" w:rsidRPr="00000000" w14:paraId="0000016A">
      <w:pPr>
        <w:jc w:val="both"/>
        <w:rPr>
          <w:b w:val="1"/>
          <w:sz w:val="22"/>
          <w:szCs w:val="22"/>
        </w:rPr>
      </w:pPr>
      <w:r w:rsidDel="00000000" w:rsidR="00000000" w:rsidRPr="00000000">
        <w:rPr>
          <w:rtl w:val="0"/>
        </w:rPr>
      </w:r>
    </w:p>
    <w:p w:rsidR="00000000" w:rsidDel="00000000" w:rsidP="00000000" w:rsidRDefault="00000000" w:rsidRPr="00000000" w14:paraId="0000016B">
      <w:pPr>
        <w:jc w:val="both"/>
        <w:rPr>
          <w:b w:val="1"/>
          <w:sz w:val="22"/>
          <w:szCs w:val="22"/>
        </w:rPr>
      </w:pPr>
      <w:r w:rsidDel="00000000" w:rsidR="00000000" w:rsidRPr="00000000">
        <w:rPr>
          <w:rtl w:val="0"/>
        </w:rPr>
      </w:r>
    </w:p>
    <w:p w:rsidR="00000000" w:rsidDel="00000000" w:rsidP="00000000" w:rsidRDefault="00000000" w:rsidRPr="00000000" w14:paraId="0000016C">
      <w:pPr>
        <w:jc w:val="both"/>
        <w:rPr>
          <w:b w:val="1"/>
          <w:sz w:val="22"/>
          <w:szCs w:val="22"/>
        </w:rPr>
      </w:pPr>
      <w:r w:rsidDel="00000000" w:rsidR="00000000" w:rsidRPr="00000000">
        <w:rPr>
          <w:rtl w:val="0"/>
        </w:rPr>
      </w:r>
    </w:p>
    <w:p w:rsidR="00000000" w:rsidDel="00000000" w:rsidP="00000000" w:rsidRDefault="00000000" w:rsidRPr="00000000" w14:paraId="0000016D">
      <w:pPr>
        <w:jc w:val="both"/>
        <w:rPr>
          <w:b w:val="1"/>
          <w:sz w:val="22"/>
          <w:szCs w:val="22"/>
        </w:rPr>
      </w:pPr>
      <w:r w:rsidDel="00000000" w:rsidR="00000000" w:rsidRPr="00000000">
        <w:rPr>
          <w:b w:val="1"/>
          <w:sz w:val="22"/>
          <w:szCs w:val="22"/>
          <w:rtl w:val="0"/>
        </w:rPr>
        <w:t xml:space="preserve">Patterns of Binge-Watching</w:t>
      </w:r>
    </w:p>
    <w:p w:rsidR="00000000" w:rsidDel="00000000" w:rsidP="00000000" w:rsidRDefault="00000000" w:rsidRPr="00000000" w14:paraId="0000016E">
      <w:pPr>
        <w:jc w:val="both"/>
        <w:rPr>
          <w:sz w:val="22"/>
          <w:szCs w:val="22"/>
        </w:rPr>
      </w:pPr>
      <w:r w:rsidDel="00000000" w:rsidR="00000000" w:rsidRPr="00000000">
        <w:rPr>
          <w:rtl w:val="0"/>
        </w:rPr>
      </w:r>
    </w:p>
    <w:p w:rsidR="00000000" w:rsidDel="00000000" w:rsidP="00000000" w:rsidRDefault="00000000" w:rsidRPr="00000000" w14:paraId="0000016F">
      <w:pPr>
        <w:jc w:val="both"/>
        <w:rPr>
          <w:sz w:val="22"/>
          <w:szCs w:val="22"/>
        </w:rPr>
      </w:pPr>
      <w:r w:rsidDel="00000000" w:rsidR="00000000" w:rsidRPr="00000000">
        <w:rPr>
          <w:sz w:val="22"/>
          <w:szCs w:val="22"/>
          <w:rtl w:val="0"/>
        </w:rPr>
        <w:t xml:space="preserve">From Table 3, it can be seen that although both male and female students display moderate binge-watching behaviour (</w:t>
      </w:r>
      <w:r w:rsidDel="00000000" w:rsidR="00000000" w:rsidRPr="00000000">
        <w:rPr>
          <w:i w:val="1"/>
          <w:sz w:val="22"/>
          <w:szCs w:val="22"/>
          <w:rtl w:val="0"/>
        </w:rPr>
        <w:t xml:space="preserve">n</w:t>
      </w:r>
      <w:r w:rsidDel="00000000" w:rsidR="00000000" w:rsidRPr="00000000">
        <w:rPr>
          <w:sz w:val="22"/>
          <w:szCs w:val="22"/>
          <w:rtl w:val="0"/>
        </w:rPr>
        <w:t xml:space="preserve"> = 99; 66.4%), the latter (</w:t>
      </w:r>
      <w:r w:rsidDel="00000000" w:rsidR="00000000" w:rsidRPr="00000000">
        <w:rPr>
          <w:i w:val="1"/>
          <w:sz w:val="22"/>
          <w:szCs w:val="22"/>
          <w:rtl w:val="0"/>
        </w:rPr>
        <w:t xml:space="preserve">M</w:t>
      </w:r>
      <w:r w:rsidDel="00000000" w:rsidR="00000000" w:rsidRPr="00000000">
        <w:rPr>
          <w:sz w:val="22"/>
          <w:szCs w:val="22"/>
          <w:rtl w:val="0"/>
        </w:rPr>
        <w:t xml:space="preserve"> = 43.43; </w:t>
      </w:r>
      <w:r w:rsidDel="00000000" w:rsidR="00000000" w:rsidRPr="00000000">
        <w:rPr>
          <w:i w:val="1"/>
          <w:sz w:val="22"/>
          <w:szCs w:val="22"/>
          <w:rtl w:val="0"/>
        </w:rPr>
        <w:t xml:space="preserve">SD</w:t>
      </w:r>
      <w:r w:rsidDel="00000000" w:rsidR="00000000" w:rsidRPr="00000000">
        <w:rPr>
          <w:sz w:val="22"/>
          <w:szCs w:val="22"/>
          <w:rtl w:val="0"/>
        </w:rPr>
        <w:t xml:space="preserve"> = 12.69) report considerably higher binge-watching scores than the former (</w:t>
      </w:r>
      <w:r w:rsidDel="00000000" w:rsidR="00000000" w:rsidRPr="00000000">
        <w:rPr>
          <w:i w:val="1"/>
          <w:sz w:val="22"/>
          <w:szCs w:val="22"/>
          <w:rtl w:val="0"/>
        </w:rPr>
        <w:t xml:space="preserve">M</w:t>
      </w:r>
      <w:r w:rsidDel="00000000" w:rsidR="00000000" w:rsidRPr="00000000">
        <w:rPr>
          <w:sz w:val="22"/>
          <w:szCs w:val="22"/>
          <w:rtl w:val="0"/>
        </w:rPr>
        <w:t xml:space="preserve"> =   35.42;  </w:t>
      </w:r>
      <w:r w:rsidDel="00000000" w:rsidR="00000000" w:rsidRPr="00000000">
        <w:rPr>
          <w:i w:val="1"/>
          <w:sz w:val="22"/>
          <w:szCs w:val="22"/>
          <w:rtl w:val="0"/>
        </w:rPr>
        <w:t xml:space="preserve">SD</w:t>
      </w:r>
      <w:r w:rsidDel="00000000" w:rsidR="00000000" w:rsidRPr="00000000">
        <w:rPr>
          <w:sz w:val="22"/>
          <w:szCs w:val="22"/>
          <w:rtl w:val="0"/>
        </w:rPr>
        <w:t xml:space="preserve"> = 13.26). Our results also show that 26 participants (17.4%) have high binge-watching rates. Additionally, binge-watching is more pronounced among students in year four or final year (</w:t>
      </w:r>
      <w:r w:rsidDel="00000000" w:rsidR="00000000" w:rsidRPr="00000000">
        <w:rPr>
          <w:i w:val="1"/>
          <w:sz w:val="22"/>
          <w:szCs w:val="22"/>
          <w:rtl w:val="0"/>
        </w:rPr>
        <w:t xml:space="preserve">n</w:t>
      </w:r>
      <w:r w:rsidDel="00000000" w:rsidR="00000000" w:rsidRPr="00000000">
        <w:rPr>
          <w:sz w:val="22"/>
          <w:szCs w:val="22"/>
          <w:rtl w:val="0"/>
        </w:rPr>
        <w:t xml:space="preserve"> = 41.51; 13.4%), followed by year two, year one, and year three students, respectively.</w:t>
      </w:r>
    </w:p>
    <w:p w:rsidR="00000000" w:rsidDel="00000000" w:rsidP="00000000" w:rsidRDefault="00000000" w:rsidRPr="00000000" w14:paraId="00000170">
      <w:pPr>
        <w:jc w:val="both"/>
        <w:rPr>
          <w:sz w:val="22"/>
          <w:szCs w:val="22"/>
        </w:rPr>
      </w:pPr>
      <w:r w:rsidDel="00000000" w:rsidR="00000000" w:rsidRPr="00000000">
        <w:rPr>
          <w:rtl w:val="0"/>
        </w:rPr>
      </w:r>
    </w:p>
    <w:p w:rsidR="00000000" w:rsidDel="00000000" w:rsidP="00000000" w:rsidRDefault="00000000" w:rsidRPr="00000000" w14:paraId="00000171">
      <w:pPr>
        <w:ind w:firstLine="720"/>
        <w:jc w:val="both"/>
        <w:rPr>
          <w:sz w:val="22"/>
          <w:szCs w:val="22"/>
        </w:rPr>
      </w:pPr>
      <w:r w:rsidDel="00000000" w:rsidR="00000000" w:rsidRPr="00000000">
        <w:rPr>
          <w:sz w:val="22"/>
          <w:szCs w:val="22"/>
          <w:rtl w:val="0"/>
        </w:rPr>
        <w:t xml:space="preserve">Most participants use handphones or tablets (57.0%) and laptops (30.9%) to binge-watch. The remaining devices used are televisions (10.1%), and 2% of the participants use other devices besides those mentioned above. Moreover, the results indicate that most participants binge-watch during their free time (78.5%) and semester breaks (13.4%). The remaining 2.7% of participants binge-watch during the study period (apart from semester break), and 5.4% binge-watch at other times, such as at night, whenever they are in the mood to binge-watch, or whenever someone accompanies them.</w:t>
      </w:r>
    </w:p>
    <w:p w:rsidR="00000000" w:rsidDel="00000000" w:rsidP="00000000" w:rsidRDefault="00000000" w:rsidRPr="00000000" w14:paraId="00000172">
      <w:pPr>
        <w:ind w:firstLine="720"/>
        <w:jc w:val="both"/>
        <w:rPr>
          <w:sz w:val="22"/>
          <w:szCs w:val="22"/>
        </w:rPr>
      </w:pPr>
      <w:r w:rsidDel="00000000" w:rsidR="00000000" w:rsidRPr="00000000">
        <w:rPr>
          <w:rtl w:val="0"/>
        </w:rPr>
      </w:r>
    </w:p>
    <w:p w:rsidR="00000000" w:rsidDel="00000000" w:rsidP="00000000" w:rsidRDefault="00000000" w:rsidRPr="00000000" w14:paraId="00000173">
      <w:pPr>
        <w:jc w:val="center"/>
        <w:rPr>
          <w:b w:val="1"/>
          <w:sz w:val="22"/>
          <w:szCs w:val="22"/>
        </w:rPr>
      </w:pPr>
      <w:r w:rsidDel="00000000" w:rsidR="00000000" w:rsidRPr="00000000">
        <w:rPr>
          <w:rtl w:val="0"/>
        </w:rPr>
      </w:r>
    </w:p>
    <w:p w:rsidR="00000000" w:rsidDel="00000000" w:rsidP="00000000" w:rsidRDefault="00000000" w:rsidRPr="00000000" w14:paraId="00000174">
      <w:pPr>
        <w:rPr>
          <w:b w:val="1"/>
          <w:sz w:val="22"/>
          <w:szCs w:val="22"/>
        </w:rPr>
      </w:pPr>
      <w:r w:rsidDel="00000000" w:rsidR="00000000" w:rsidRPr="00000000">
        <w:rPr>
          <w:b w:val="1"/>
          <w:sz w:val="22"/>
          <w:szCs w:val="22"/>
          <w:rtl w:val="0"/>
        </w:rPr>
        <w:t xml:space="preserve">Table 3</w:t>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i w:val="1"/>
        </w:rPr>
      </w:pPr>
      <w:r w:rsidDel="00000000" w:rsidR="00000000" w:rsidRPr="00000000">
        <w:rPr>
          <w:i w:val="1"/>
          <w:rtl w:val="0"/>
        </w:rPr>
        <w:t xml:space="preserve">Patterns of binge-watching behaviour among Malaysian undergraduate students </w:t>
      </w:r>
    </w:p>
    <w:p w:rsidR="00000000" w:rsidDel="00000000" w:rsidP="00000000" w:rsidRDefault="00000000" w:rsidRPr="00000000" w14:paraId="00000177">
      <w:pPr>
        <w:rPr>
          <w:i w:val="1"/>
        </w:rPr>
      </w:pPr>
      <w:r w:rsidDel="00000000" w:rsidR="00000000" w:rsidRPr="00000000">
        <w:rPr>
          <w:i w:val="1"/>
          <w:rtl w:val="0"/>
        </w:rPr>
        <w:t xml:space="preserve">in this study (n = 149)</w:t>
      </w:r>
    </w:p>
    <w:p w:rsidR="00000000" w:rsidDel="00000000" w:rsidP="00000000" w:rsidRDefault="00000000" w:rsidRPr="00000000" w14:paraId="00000178">
      <w:pPr>
        <w:jc w:val="both"/>
        <w:rPr>
          <w:sz w:val="22"/>
          <w:szCs w:val="22"/>
        </w:rPr>
      </w:pPr>
      <w:r w:rsidDel="00000000" w:rsidR="00000000" w:rsidRPr="00000000">
        <w:rPr>
          <w:rtl w:val="0"/>
        </w:rPr>
      </w:r>
    </w:p>
    <w:tbl>
      <w:tblPr>
        <w:tblStyle w:val="Table3"/>
        <w:tblW w:w="8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1416"/>
        <w:gridCol w:w="1418"/>
        <w:gridCol w:w="1316"/>
        <w:gridCol w:w="1665"/>
        <w:gridCol w:w="968"/>
        <w:gridCol w:w="1317"/>
        <w:tblGridChange w:id="0">
          <w:tblGrid>
            <w:gridCol w:w="420"/>
            <w:gridCol w:w="1416"/>
            <w:gridCol w:w="1418"/>
            <w:gridCol w:w="1316"/>
            <w:gridCol w:w="1665"/>
            <w:gridCol w:w="968"/>
            <w:gridCol w:w="1317"/>
          </w:tblGrid>
        </w:tblGridChange>
      </w:tblGrid>
      <w:tr>
        <w:trPr>
          <w:cantSplit w:val="0"/>
          <w:tblHeader w:val="0"/>
        </w:trPr>
        <w:tc>
          <w:tcPr>
            <w:gridSpan w:val="2"/>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79">
            <w:pPr>
              <w:jc w:val="left"/>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Category</w:t>
            </w:r>
          </w:p>
        </w:tc>
        <w:tc>
          <w:tcPr>
            <w:tcBorders>
              <w:top w:color="000000" w:space="0" w:sz="4" w:val="single"/>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17B">
            <w:pPr>
              <w:jc w:val="center"/>
              <w:rPr>
                <w:rFonts w:ascii="Book Antiqua" w:cs="Book Antiqua" w:eastAsia="Book Antiqua" w:hAnsi="Book Antiqua"/>
                <w:b w:val="1"/>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7C">
            <w:pPr>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Frequency</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7D">
            <w:pPr>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Percentage (%)</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7E">
            <w:pPr>
              <w:jc w:val="center"/>
              <w:rPr>
                <w:rFonts w:ascii="Book Antiqua" w:cs="Book Antiqua" w:eastAsia="Book Antiqua" w:hAnsi="Book Antiqua"/>
                <w:b w:val="1"/>
                <w:i w:val="1"/>
                <w:color w:val="000000"/>
              </w:rPr>
            </w:pPr>
            <w:r w:rsidDel="00000000" w:rsidR="00000000" w:rsidRPr="00000000">
              <w:rPr>
                <w:rFonts w:ascii="Book Antiqua" w:cs="Book Antiqua" w:eastAsia="Book Antiqua" w:hAnsi="Book Antiqua"/>
                <w:b w:val="1"/>
                <w:i w:val="1"/>
                <w:color w:val="000000"/>
                <w:rtl w:val="0"/>
              </w:rPr>
              <w:t xml:space="preserve">M</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17F">
            <w:pPr>
              <w:jc w:val="center"/>
              <w:rPr>
                <w:rFonts w:ascii="Book Antiqua" w:cs="Book Antiqua" w:eastAsia="Book Antiqua" w:hAnsi="Book Antiqua"/>
                <w:b w:val="1"/>
                <w:i w:val="1"/>
                <w:color w:val="000000"/>
              </w:rPr>
            </w:pPr>
            <w:r w:rsidDel="00000000" w:rsidR="00000000" w:rsidRPr="00000000">
              <w:rPr>
                <w:rFonts w:ascii="Book Antiqua" w:cs="Book Antiqua" w:eastAsia="Book Antiqua" w:hAnsi="Book Antiqua"/>
                <w:b w:val="1"/>
                <w:i w:val="1"/>
                <w:color w:val="000000"/>
                <w:rtl w:val="0"/>
              </w:rPr>
              <w:t xml:space="preserve">SD</w:t>
            </w:r>
          </w:p>
        </w:tc>
      </w:tr>
      <w:tr>
        <w:trPr>
          <w:cantSplit w:val="0"/>
          <w:tblHeader w:val="0"/>
        </w:trPr>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81">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What is the pattern of binge-watching among the participants?</w:t>
            </w:r>
          </w:p>
          <w:p w:rsidR="00000000" w:rsidDel="00000000" w:rsidP="00000000" w:rsidRDefault="00000000" w:rsidRPr="00000000" w14:paraId="00000182">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83">
            <w:pPr>
              <w:rPr>
                <w:rFonts w:ascii="Book Antiqua" w:cs="Book Antiqua" w:eastAsia="Book Antiqua" w:hAnsi="Book Antiqua"/>
                <w:i w:val="1"/>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8A">
            <w:pPr>
              <w:jc w:val="left"/>
              <w:rPr>
                <w:rFonts w:ascii="Book Antiqua" w:cs="Book Antiqua" w:eastAsia="Book Antiqua" w:hAnsi="Book Antiqua"/>
                <w:i w:val="1"/>
                <w:color w:val="000000"/>
              </w:rPr>
            </w:pPr>
            <w:r w:rsidDel="00000000" w:rsidR="00000000" w:rsidRPr="00000000">
              <w:rPr>
                <w:rFonts w:ascii="Book Antiqua" w:cs="Book Antiqua" w:eastAsia="Book Antiqua" w:hAnsi="Book Antiqua"/>
                <w:i w:val="1"/>
                <w:rtl w:val="0"/>
              </w:rPr>
              <w:t xml:space="preserve">Gender</w:t>
            </w:r>
            <w:r w:rsidDel="00000000" w:rsidR="00000000" w:rsidRPr="00000000">
              <w:rPr>
                <w:rtl w:val="0"/>
              </w:rPr>
            </w:r>
          </w:p>
        </w:tc>
      </w:tr>
      <w:tr>
        <w:trPr>
          <w:cantSplit w:val="0"/>
          <w:tblHeader w:val="0"/>
        </w:trPr>
        <w:tc>
          <w:tcPr/>
          <w:p w:rsidR="00000000" w:rsidDel="00000000" w:rsidP="00000000" w:rsidRDefault="00000000" w:rsidRPr="00000000" w14:paraId="00000191">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9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Male</w:t>
            </w:r>
          </w:p>
        </w:tc>
        <w:tc>
          <w:tcPr>
            <w:vAlign w:val="bottom"/>
          </w:tcPr>
          <w:p w:rsidR="00000000" w:rsidDel="00000000" w:rsidP="00000000" w:rsidRDefault="00000000" w:rsidRPr="00000000" w14:paraId="00000193">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vAlign w:val="bottom"/>
          </w:tcPr>
          <w:p w:rsidR="00000000" w:rsidDel="00000000" w:rsidP="00000000" w:rsidRDefault="00000000" w:rsidRPr="00000000" w14:paraId="00000194">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12</w:t>
            </w:r>
          </w:p>
        </w:tc>
        <w:tc>
          <w:tcPr>
            <w:vAlign w:val="bottom"/>
          </w:tcPr>
          <w:p w:rsidR="00000000" w:rsidDel="00000000" w:rsidP="00000000" w:rsidRDefault="00000000" w:rsidRPr="00000000" w14:paraId="00000195">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25.0</w:t>
            </w:r>
          </w:p>
        </w:tc>
        <w:tc>
          <w:tcPr>
            <w:vAlign w:val="bottom"/>
          </w:tcPr>
          <w:p w:rsidR="00000000" w:rsidDel="00000000" w:rsidP="00000000" w:rsidRDefault="00000000" w:rsidRPr="00000000" w14:paraId="00000196">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97">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8">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99">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9A">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19B">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31</w:t>
            </w:r>
          </w:p>
        </w:tc>
        <w:tc>
          <w:tcPr>
            <w:vAlign w:val="bottom"/>
          </w:tcPr>
          <w:p w:rsidR="00000000" w:rsidDel="00000000" w:rsidP="00000000" w:rsidRDefault="00000000" w:rsidRPr="00000000" w14:paraId="0000019C">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64.6</w:t>
            </w:r>
          </w:p>
        </w:tc>
        <w:tc>
          <w:tcPr>
            <w:vAlign w:val="bottom"/>
          </w:tcPr>
          <w:p w:rsidR="00000000" w:rsidDel="00000000" w:rsidP="00000000" w:rsidRDefault="00000000" w:rsidRPr="00000000" w14:paraId="0000019D">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9E">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F">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A0">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A1">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1A2">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5</w:t>
            </w:r>
          </w:p>
        </w:tc>
        <w:tc>
          <w:tcPr>
            <w:vAlign w:val="bottom"/>
          </w:tcPr>
          <w:p w:rsidR="00000000" w:rsidDel="00000000" w:rsidP="00000000" w:rsidRDefault="00000000" w:rsidRPr="00000000" w14:paraId="000001A3">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10.4</w:t>
            </w:r>
          </w:p>
        </w:tc>
        <w:tc>
          <w:tcPr>
            <w:vAlign w:val="bottom"/>
          </w:tcPr>
          <w:p w:rsidR="00000000" w:rsidDel="00000000" w:rsidP="00000000" w:rsidRDefault="00000000" w:rsidRPr="00000000" w14:paraId="000001A4">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A5">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A6">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A7">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A8">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1A9">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48</w:t>
            </w:r>
            <w:r w:rsidDel="00000000" w:rsidR="00000000" w:rsidRPr="00000000">
              <w:rPr>
                <w:rtl w:val="0"/>
              </w:rPr>
            </w:r>
          </w:p>
        </w:tc>
        <w:tc>
          <w:tcPr>
            <w:shd w:fill="d9d9d9" w:val="clear"/>
          </w:tcPr>
          <w:p w:rsidR="00000000" w:rsidDel="00000000" w:rsidP="00000000" w:rsidRDefault="00000000" w:rsidRPr="00000000" w14:paraId="000001AA">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1AB">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35.42</w:t>
            </w:r>
          </w:p>
        </w:tc>
        <w:tc>
          <w:tcPr>
            <w:shd w:fill="d9d9d9" w:val="clear"/>
          </w:tcPr>
          <w:p w:rsidR="00000000" w:rsidDel="00000000" w:rsidP="00000000" w:rsidRDefault="00000000" w:rsidRPr="00000000" w14:paraId="000001AC">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13.26</w:t>
            </w:r>
          </w:p>
        </w:tc>
      </w:tr>
      <w:tr>
        <w:trPr>
          <w:cantSplit w:val="0"/>
          <w:tblHeader w:val="0"/>
        </w:trPr>
        <w:tc>
          <w:tcPr/>
          <w:p w:rsidR="00000000" w:rsidDel="00000000" w:rsidP="00000000" w:rsidRDefault="00000000" w:rsidRPr="00000000" w14:paraId="000001AD">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A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Female</w:t>
            </w:r>
          </w:p>
        </w:tc>
        <w:tc>
          <w:tcPr>
            <w:vAlign w:val="bottom"/>
          </w:tcPr>
          <w:p w:rsidR="00000000" w:rsidDel="00000000" w:rsidP="00000000" w:rsidRDefault="00000000" w:rsidRPr="00000000" w14:paraId="000001AF">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vAlign w:val="bottom"/>
          </w:tcPr>
          <w:p w:rsidR="00000000" w:rsidDel="00000000" w:rsidP="00000000" w:rsidRDefault="00000000" w:rsidRPr="00000000" w14:paraId="000001B0">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12</w:t>
            </w:r>
          </w:p>
        </w:tc>
        <w:tc>
          <w:tcPr>
            <w:vAlign w:val="bottom"/>
          </w:tcPr>
          <w:p w:rsidR="00000000" w:rsidDel="00000000" w:rsidP="00000000" w:rsidRDefault="00000000" w:rsidRPr="00000000" w14:paraId="000001B1">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11.9</w:t>
            </w:r>
          </w:p>
        </w:tc>
        <w:tc>
          <w:tcPr>
            <w:vAlign w:val="bottom"/>
          </w:tcPr>
          <w:p w:rsidR="00000000" w:rsidDel="00000000" w:rsidP="00000000" w:rsidRDefault="00000000" w:rsidRPr="00000000" w14:paraId="000001B2">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B3">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4">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B5">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B6">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1B7">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68</w:t>
            </w:r>
          </w:p>
        </w:tc>
        <w:tc>
          <w:tcPr>
            <w:vAlign w:val="bottom"/>
          </w:tcPr>
          <w:p w:rsidR="00000000" w:rsidDel="00000000" w:rsidP="00000000" w:rsidRDefault="00000000" w:rsidRPr="00000000" w14:paraId="000001B8">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67.3</w:t>
            </w:r>
          </w:p>
        </w:tc>
        <w:tc>
          <w:tcPr>
            <w:vAlign w:val="bottom"/>
          </w:tcPr>
          <w:p w:rsidR="00000000" w:rsidDel="00000000" w:rsidP="00000000" w:rsidRDefault="00000000" w:rsidRPr="00000000" w14:paraId="000001B9">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BA">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B">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BC">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BD">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1BE">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21</w:t>
            </w:r>
          </w:p>
        </w:tc>
        <w:tc>
          <w:tcPr>
            <w:vAlign w:val="bottom"/>
          </w:tcPr>
          <w:p w:rsidR="00000000" w:rsidDel="00000000" w:rsidP="00000000" w:rsidRDefault="00000000" w:rsidRPr="00000000" w14:paraId="000001BF">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20.8</w:t>
            </w:r>
          </w:p>
        </w:tc>
        <w:tc>
          <w:tcPr>
            <w:vAlign w:val="bottom"/>
          </w:tcPr>
          <w:p w:rsidR="00000000" w:rsidDel="00000000" w:rsidP="00000000" w:rsidRDefault="00000000" w:rsidRPr="00000000" w14:paraId="000001C0">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C1">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C2">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C3">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C4">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1C5">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101</w:t>
            </w:r>
            <w:r w:rsidDel="00000000" w:rsidR="00000000" w:rsidRPr="00000000">
              <w:rPr>
                <w:rtl w:val="0"/>
              </w:rPr>
            </w:r>
          </w:p>
        </w:tc>
        <w:tc>
          <w:tcPr>
            <w:shd w:fill="d9d9d9" w:val="clear"/>
          </w:tcPr>
          <w:p w:rsidR="00000000" w:rsidDel="00000000" w:rsidP="00000000" w:rsidRDefault="00000000" w:rsidRPr="00000000" w14:paraId="000001C6">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1C7">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43.43</w:t>
            </w:r>
          </w:p>
        </w:tc>
        <w:tc>
          <w:tcPr>
            <w:shd w:fill="d9d9d9" w:val="clear"/>
          </w:tcPr>
          <w:p w:rsidR="00000000" w:rsidDel="00000000" w:rsidP="00000000" w:rsidRDefault="00000000" w:rsidRPr="00000000" w14:paraId="000001C8">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12.69</w:t>
            </w:r>
          </w:p>
        </w:tc>
      </w:tr>
      <w:tr>
        <w:trPr>
          <w:cantSplit w:val="0"/>
          <w:tblHeader w:val="0"/>
        </w:trPr>
        <w:tc>
          <w:tcPr>
            <w:gridSpan w:val="7"/>
          </w:tcPr>
          <w:p w:rsidR="00000000" w:rsidDel="00000000" w:rsidP="00000000" w:rsidRDefault="00000000" w:rsidRPr="00000000" w14:paraId="000001C9">
            <w:pPr>
              <w:jc w:val="left"/>
              <w:rPr>
                <w:rFonts w:ascii="Book Antiqua" w:cs="Book Antiqua" w:eastAsia="Book Antiqua" w:hAnsi="Book Antiqua"/>
                <w:i w:val="1"/>
                <w:color w:val="000000"/>
              </w:rPr>
            </w:pPr>
            <w:r w:rsidDel="00000000" w:rsidR="00000000" w:rsidRPr="00000000">
              <w:rPr>
                <w:rFonts w:ascii="Book Antiqua" w:cs="Book Antiqua" w:eastAsia="Book Antiqua" w:hAnsi="Book Antiqua"/>
                <w:i w:val="1"/>
                <w:color w:val="000000"/>
                <w:rtl w:val="0"/>
              </w:rPr>
              <w:t xml:space="preserve">Year of Study</w:t>
            </w:r>
          </w:p>
        </w:tc>
      </w:tr>
      <w:tr>
        <w:trPr>
          <w:cantSplit w:val="0"/>
          <w:tblHeader w:val="0"/>
        </w:trPr>
        <w:tc>
          <w:tcPr/>
          <w:p w:rsidR="00000000" w:rsidDel="00000000" w:rsidP="00000000" w:rsidRDefault="00000000" w:rsidRPr="00000000" w14:paraId="000001D0">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D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w:t>
            </w:r>
          </w:p>
        </w:tc>
        <w:tc>
          <w:tcPr>
            <w:vAlign w:val="bottom"/>
          </w:tcPr>
          <w:p w:rsidR="00000000" w:rsidDel="00000000" w:rsidP="00000000" w:rsidRDefault="00000000" w:rsidRPr="00000000" w14:paraId="000001D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p w:rsidR="00000000" w:rsidDel="00000000" w:rsidP="00000000" w:rsidRDefault="00000000" w:rsidRPr="00000000" w14:paraId="000001D3">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3</w:t>
            </w:r>
          </w:p>
        </w:tc>
        <w:tc>
          <w:tcPr/>
          <w:p w:rsidR="00000000" w:rsidDel="00000000" w:rsidP="00000000" w:rsidRDefault="00000000" w:rsidRPr="00000000" w14:paraId="000001D4">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15.8</w:t>
            </w:r>
            <w:r w:rsidDel="00000000" w:rsidR="00000000" w:rsidRPr="00000000">
              <w:rPr>
                <w:rtl w:val="0"/>
              </w:rPr>
            </w:r>
          </w:p>
        </w:tc>
        <w:tc>
          <w:tcPr>
            <w:vAlign w:val="bottom"/>
          </w:tcPr>
          <w:p w:rsidR="00000000" w:rsidDel="00000000" w:rsidP="00000000" w:rsidRDefault="00000000" w:rsidRPr="00000000" w14:paraId="000001D5">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D6">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7">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D8">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D9">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1DA">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11</w:t>
            </w:r>
            <w:r w:rsidDel="00000000" w:rsidR="00000000" w:rsidRPr="00000000">
              <w:rPr>
                <w:rtl w:val="0"/>
              </w:rPr>
            </w:r>
          </w:p>
        </w:tc>
        <w:tc>
          <w:tcPr>
            <w:vAlign w:val="bottom"/>
          </w:tcPr>
          <w:p w:rsidR="00000000" w:rsidDel="00000000" w:rsidP="00000000" w:rsidRDefault="00000000" w:rsidRPr="00000000" w14:paraId="000001DB">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57.9</w:t>
            </w:r>
            <w:r w:rsidDel="00000000" w:rsidR="00000000" w:rsidRPr="00000000">
              <w:rPr>
                <w:rtl w:val="0"/>
              </w:rPr>
            </w:r>
          </w:p>
        </w:tc>
        <w:tc>
          <w:tcPr>
            <w:vAlign w:val="bottom"/>
          </w:tcPr>
          <w:p w:rsidR="00000000" w:rsidDel="00000000" w:rsidP="00000000" w:rsidRDefault="00000000" w:rsidRPr="00000000" w14:paraId="000001DC">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DD">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E">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DF">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E0">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1E1">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5</w:t>
            </w:r>
            <w:r w:rsidDel="00000000" w:rsidR="00000000" w:rsidRPr="00000000">
              <w:rPr>
                <w:rtl w:val="0"/>
              </w:rPr>
            </w:r>
          </w:p>
        </w:tc>
        <w:tc>
          <w:tcPr>
            <w:vAlign w:val="bottom"/>
          </w:tcPr>
          <w:p w:rsidR="00000000" w:rsidDel="00000000" w:rsidP="00000000" w:rsidRDefault="00000000" w:rsidRPr="00000000" w14:paraId="000001E2">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26.3</w:t>
            </w:r>
            <w:r w:rsidDel="00000000" w:rsidR="00000000" w:rsidRPr="00000000">
              <w:rPr>
                <w:rtl w:val="0"/>
              </w:rPr>
            </w:r>
          </w:p>
        </w:tc>
        <w:tc>
          <w:tcPr>
            <w:vAlign w:val="bottom"/>
          </w:tcPr>
          <w:p w:rsidR="00000000" w:rsidDel="00000000" w:rsidP="00000000" w:rsidRDefault="00000000" w:rsidRPr="00000000" w14:paraId="000001E3">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E4">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E5">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E6">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1E7">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1E8">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19</w:t>
            </w:r>
            <w:r w:rsidDel="00000000" w:rsidR="00000000" w:rsidRPr="00000000">
              <w:rPr>
                <w:rtl w:val="0"/>
              </w:rPr>
            </w:r>
          </w:p>
        </w:tc>
        <w:tc>
          <w:tcPr>
            <w:shd w:fill="d9d9d9" w:val="clear"/>
          </w:tcPr>
          <w:p w:rsidR="00000000" w:rsidDel="00000000" w:rsidP="00000000" w:rsidRDefault="00000000" w:rsidRPr="00000000" w14:paraId="000001E9">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1EA">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40.68</w:t>
            </w:r>
          </w:p>
        </w:tc>
        <w:tc>
          <w:tcPr>
            <w:shd w:fill="d9d9d9" w:val="clear"/>
          </w:tcPr>
          <w:p w:rsidR="00000000" w:rsidDel="00000000" w:rsidP="00000000" w:rsidRDefault="00000000" w:rsidRPr="00000000" w14:paraId="000001EB">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14.93</w:t>
            </w:r>
          </w:p>
        </w:tc>
      </w:tr>
      <w:tr>
        <w:trPr>
          <w:cantSplit w:val="0"/>
          <w:tblHeader w:val="0"/>
        </w:trPr>
        <w:tc>
          <w:tcPr/>
          <w:p w:rsidR="00000000" w:rsidDel="00000000" w:rsidP="00000000" w:rsidRDefault="00000000" w:rsidRPr="00000000" w14:paraId="000001EC">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E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 </w:t>
            </w:r>
          </w:p>
        </w:tc>
        <w:tc>
          <w:tcPr>
            <w:vAlign w:val="bottom"/>
          </w:tcPr>
          <w:p w:rsidR="00000000" w:rsidDel="00000000" w:rsidP="00000000" w:rsidRDefault="00000000" w:rsidRPr="00000000" w14:paraId="000001EE">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vAlign w:val="bottom"/>
          </w:tcPr>
          <w:p w:rsidR="00000000" w:rsidDel="00000000" w:rsidP="00000000" w:rsidRDefault="00000000" w:rsidRPr="00000000" w14:paraId="000001EF">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6</w:t>
            </w:r>
            <w:r w:rsidDel="00000000" w:rsidR="00000000" w:rsidRPr="00000000">
              <w:rPr>
                <w:rtl w:val="0"/>
              </w:rPr>
            </w:r>
          </w:p>
        </w:tc>
        <w:tc>
          <w:tcPr>
            <w:vAlign w:val="bottom"/>
          </w:tcPr>
          <w:p w:rsidR="00000000" w:rsidDel="00000000" w:rsidP="00000000" w:rsidRDefault="00000000" w:rsidRPr="00000000" w14:paraId="000001F0">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17.1</w:t>
            </w:r>
            <w:r w:rsidDel="00000000" w:rsidR="00000000" w:rsidRPr="00000000">
              <w:rPr>
                <w:rtl w:val="0"/>
              </w:rPr>
            </w:r>
          </w:p>
        </w:tc>
        <w:tc>
          <w:tcPr>
            <w:vAlign w:val="bottom"/>
          </w:tcPr>
          <w:p w:rsidR="00000000" w:rsidDel="00000000" w:rsidP="00000000" w:rsidRDefault="00000000" w:rsidRPr="00000000" w14:paraId="000001F1">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F2">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3">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F4">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F5">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1F6">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26</w:t>
            </w:r>
            <w:r w:rsidDel="00000000" w:rsidR="00000000" w:rsidRPr="00000000">
              <w:rPr>
                <w:rtl w:val="0"/>
              </w:rPr>
            </w:r>
          </w:p>
        </w:tc>
        <w:tc>
          <w:tcPr>
            <w:vAlign w:val="bottom"/>
          </w:tcPr>
          <w:p w:rsidR="00000000" w:rsidDel="00000000" w:rsidP="00000000" w:rsidRDefault="00000000" w:rsidRPr="00000000" w14:paraId="000001F7">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74.3</w:t>
            </w:r>
            <w:r w:rsidDel="00000000" w:rsidR="00000000" w:rsidRPr="00000000">
              <w:rPr>
                <w:rtl w:val="0"/>
              </w:rPr>
            </w:r>
          </w:p>
        </w:tc>
        <w:tc>
          <w:tcPr>
            <w:vAlign w:val="bottom"/>
          </w:tcPr>
          <w:p w:rsidR="00000000" w:rsidDel="00000000" w:rsidP="00000000" w:rsidRDefault="00000000" w:rsidRPr="00000000" w14:paraId="000001F8">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1F9">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A">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1FB">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1FC">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1FD">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3</w:t>
            </w:r>
            <w:r w:rsidDel="00000000" w:rsidR="00000000" w:rsidRPr="00000000">
              <w:rPr>
                <w:rtl w:val="0"/>
              </w:rPr>
            </w:r>
          </w:p>
        </w:tc>
        <w:tc>
          <w:tcPr>
            <w:vAlign w:val="bottom"/>
          </w:tcPr>
          <w:p w:rsidR="00000000" w:rsidDel="00000000" w:rsidP="00000000" w:rsidRDefault="00000000" w:rsidRPr="00000000" w14:paraId="000001FE">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8.6</w:t>
            </w:r>
            <w:r w:rsidDel="00000000" w:rsidR="00000000" w:rsidRPr="00000000">
              <w:rPr>
                <w:rtl w:val="0"/>
              </w:rPr>
            </w:r>
          </w:p>
        </w:tc>
        <w:tc>
          <w:tcPr>
            <w:vAlign w:val="bottom"/>
          </w:tcPr>
          <w:p w:rsidR="00000000" w:rsidDel="00000000" w:rsidP="00000000" w:rsidRDefault="00000000" w:rsidRPr="00000000" w14:paraId="000001FF">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00">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01">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02">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03">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204">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35</w:t>
            </w:r>
            <w:r w:rsidDel="00000000" w:rsidR="00000000" w:rsidRPr="00000000">
              <w:rPr>
                <w:rtl w:val="0"/>
              </w:rPr>
            </w:r>
          </w:p>
        </w:tc>
        <w:tc>
          <w:tcPr>
            <w:shd w:fill="d9d9d9" w:val="clear"/>
          </w:tcPr>
          <w:p w:rsidR="00000000" w:rsidDel="00000000" w:rsidP="00000000" w:rsidRDefault="00000000" w:rsidRPr="00000000" w14:paraId="00000205">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206">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41.09</w:t>
            </w:r>
          </w:p>
        </w:tc>
        <w:tc>
          <w:tcPr>
            <w:shd w:fill="d9d9d9" w:val="clear"/>
          </w:tcPr>
          <w:p w:rsidR="00000000" w:rsidDel="00000000" w:rsidP="00000000" w:rsidRDefault="00000000" w:rsidRPr="00000000" w14:paraId="00000207">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11.59</w:t>
            </w:r>
          </w:p>
        </w:tc>
      </w:tr>
      <w:tr>
        <w:trPr>
          <w:cantSplit w:val="0"/>
          <w:tblHeader w:val="0"/>
        </w:trPr>
        <w:tc>
          <w:tcPr/>
          <w:p w:rsidR="00000000" w:rsidDel="00000000" w:rsidP="00000000" w:rsidRDefault="00000000" w:rsidRPr="00000000" w14:paraId="00000208">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0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 </w:t>
            </w:r>
          </w:p>
        </w:tc>
        <w:tc>
          <w:tcPr>
            <w:vAlign w:val="bottom"/>
          </w:tcPr>
          <w:p w:rsidR="00000000" w:rsidDel="00000000" w:rsidP="00000000" w:rsidRDefault="00000000" w:rsidRPr="00000000" w14:paraId="0000020A">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vAlign w:val="bottom"/>
          </w:tcPr>
          <w:p w:rsidR="00000000" w:rsidDel="00000000" w:rsidP="00000000" w:rsidRDefault="00000000" w:rsidRPr="00000000" w14:paraId="0000020B">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7</w:t>
            </w:r>
            <w:r w:rsidDel="00000000" w:rsidR="00000000" w:rsidRPr="00000000">
              <w:rPr>
                <w:rtl w:val="0"/>
              </w:rPr>
            </w:r>
          </w:p>
        </w:tc>
        <w:tc>
          <w:tcPr>
            <w:vAlign w:val="bottom"/>
          </w:tcPr>
          <w:p w:rsidR="00000000" w:rsidDel="00000000" w:rsidP="00000000" w:rsidRDefault="00000000" w:rsidRPr="00000000" w14:paraId="0000020C">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18.4</w:t>
            </w:r>
            <w:r w:rsidDel="00000000" w:rsidR="00000000" w:rsidRPr="00000000">
              <w:rPr>
                <w:rtl w:val="0"/>
              </w:rPr>
            </w:r>
          </w:p>
        </w:tc>
        <w:tc>
          <w:tcPr>
            <w:vAlign w:val="bottom"/>
          </w:tcPr>
          <w:p w:rsidR="00000000" w:rsidDel="00000000" w:rsidP="00000000" w:rsidRDefault="00000000" w:rsidRPr="00000000" w14:paraId="0000020D">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0E">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F">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10">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211">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212">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24</w:t>
            </w:r>
            <w:r w:rsidDel="00000000" w:rsidR="00000000" w:rsidRPr="00000000">
              <w:rPr>
                <w:rtl w:val="0"/>
              </w:rPr>
            </w:r>
          </w:p>
        </w:tc>
        <w:tc>
          <w:tcPr>
            <w:vAlign w:val="bottom"/>
          </w:tcPr>
          <w:p w:rsidR="00000000" w:rsidDel="00000000" w:rsidP="00000000" w:rsidRDefault="00000000" w:rsidRPr="00000000" w14:paraId="00000213">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63.2</w:t>
            </w:r>
            <w:r w:rsidDel="00000000" w:rsidR="00000000" w:rsidRPr="00000000">
              <w:rPr>
                <w:rtl w:val="0"/>
              </w:rPr>
            </w:r>
          </w:p>
        </w:tc>
        <w:tc>
          <w:tcPr>
            <w:vAlign w:val="bottom"/>
          </w:tcPr>
          <w:p w:rsidR="00000000" w:rsidDel="00000000" w:rsidP="00000000" w:rsidRDefault="00000000" w:rsidRPr="00000000" w14:paraId="00000214">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15">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6">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17">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218">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219">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7</w:t>
            </w:r>
            <w:r w:rsidDel="00000000" w:rsidR="00000000" w:rsidRPr="00000000">
              <w:rPr>
                <w:rtl w:val="0"/>
              </w:rPr>
            </w:r>
          </w:p>
        </w:tc>
        <w:tc>
          <w:tcPr>
            <w:vAlign w:val="bottom"/>
          </w:tcPr>
          <w:p w:rsidR="00000000" w:rsidDel="00000000" w:rsidP="00000000" w:rsidRDefault="00000000" w:rsidRPr="00000000" w14:paraId="0000021A">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18.4</w:t>
            </w:r>
            <w:r w:rsidDel="00000000" w:rsidR="00000000" w:rsidRPr="00000000">
              <w:rPr>
                <w:rtl w:val="0"/>
              </w:rPr>
            </w:r>
          </w:p>
        </w:tc>
        <w:tc>
          <w:tcPr>
            <w:vAlign w:val="bottom"/>
          </w:tcPr>
          <w:p w:rsidR="00000000" w:rsidDel="00000000" w:rsidP="00000000" w:rsidRDefault="00000000" w:rsidRPr="00000000" w14:paraId="0000021B">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1C">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D">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1E">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1F">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220">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38</w:t>
            </w:r>
            <w:r w:rsidDel="00000000" w:rsidR="00000000" w:rsidRPr="00000000">
              <w:rPr>
                <w:rtl w:val="0"/>
              </w:rPr>
            </w:r>
          </w:p>
        </w:tc>
        <w:tc>
          <w:tcPr>
            <w:shd w:fill="d9d9d9" w:val="clear"/>
          </w:tcPr>
          <w:p w:rsidR="00000000" w:rsidDel="00000000" w:rsidP="00000000" w:rsidRDefault="00000000" w:rsidRPr="00000000" w14:paraId="00000221">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222">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39.71</w:t>
            </w:r>
          </w:p>
        </w:tc>
        <w:tc>
          <w:tcPr>
            <w:shd w:fill="d9d9d9" w:val="clear"/>
          </w:tcPr>
          <w:p w:rsidR="00000000" w:rsidDel="00000000" w:rsidP="00000000" w:rsidRDefault="00000000" w:rsidRPr="00000000" w14:paraId="00000223">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14.45</w:t>
            </w:r>
          </w:p>
        </w:tc>
      </w:tr>
      <w:tr>
        <w:trPr>
          <w:cantSplit w:val="0"/>
          <w:tblHeader w:val="0"/>
        </w:trPr>
        <w:tc>
          <w:tcPr/>
          <w:p w:rsidR="00000000" w:rsidDel="00000000" w:rsidP="00000000" w:rsidRDefault="00000000" w:rsidRPr="00000000" w14:paraId="00000224">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2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4 </w:t>
            </w:r>
          </w:p>
        </w:tc>
        <w:tc>
          <w:tcPr>
            <w:vAlign w:val="bottom"/>
          </w:tcPr>
          <w:p w:rsidR="00000000" w:rsidDel="00000000" w:rsidP="00000000" w:rsidRDefault="00000000" w:rsidRPr="00000000" w14:paraId="00000226">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Low</w:t>
            </w:r>
          </w:p>
        </w:tc>
        <w:tc>
          <w:tcPr>
            <w:vAlign w:val="bottom"/>
          </w:tcPr>
          <w:p w:rsidR="00000000" w:rsidDel="00000000" w:rsidP="00000000" w:rsidRDefault="00000000" w:rsidRPr="00000000" w14:paraId="00000227">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8</w:t>
            </w:r>
            <w:r w:rsidDel="00000000" w:rsidR="00000000" w:rsidRPr="00000000">
              <w:rPr>
                <w:rtl w:val="0"/>
              </w:rPr>
            </w:r>
          </w:p>
        </w:tc>
        <w:tc>
          <w:tcPr>
            <w:vAlign w:val="bottom"/>
          </w:tcPr>
          <w:p w:rsidR="00000000" w:rsidDel="00000000" w:rsidP="00000000" w:rsidRDefault="00000000" w:rsidRPr="00000000" w14:paraId="00000228">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14.0</w:t>
            </w:r>
            <w:r w:rsidDel="00000000" w:rsidR="00000000" w:rsidRPr="00000000">
              <w:rPr>
                <w:rtl w:val="0"/>
              </w:rPr>
            </w:r>
          </w:p>
        </w:tc>
        <w:tc>
          <w:tcPr>
            <w:vAlign w:val="bottom"/>
          </w:tcPr>
          <w:p w:rsidR="00000000" w:rsidDel="00000000" w:rsidP="00000000" w:rsidRDefault="00000000" w:rsidRPr="00000000" w14:paraId="00000229">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2A">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B">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2C">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22D">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Moderate</w:t>
            </w:r>
          </w:p>
        </w:tc>
        <w:tc>
          <w:tcPr>
            <w:vAlign w:val="bottom"/>
          </w:tcPr>
          <w:p w:rsidR="00000000" w:rsidDel="00000000" w:rsidP="00000000" w:rsidRDefault="00000000" w:rsidRPr="00000000" w14:paraId="0000022E">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38</w:t>
            </w:r>
            <w:r w:rsidDel="00000000" w:rsidR="00000000" w:rsidRPr="00000000">
              <w:rPr>
                <w:rtl w:val="0"/>
              </w:rPr>
            </w:r>
          </w:p>
        </w:tc>
        <w:tc>
          <w:tcPr>
            <w:vAlign w:val="bottom"/>
          </w:tcPr>
          <w:p w:rsidR="00000000" w:rsidDel="00000000" w:rsidP="00000000" w:rsidRDefault="00000000" w:rsidRPr="00000000" w14:paraId="0000022F">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66.7</w:t>
            </w:r>
            <w:r w:rsidDel="00000000" w:rsidR="00000000" w:rsidRPr="00000000">
              <w:rPr>
                <w:rtl w:val="0"/>
              </w:rPr>
            </w:r>
          </w:p>
        </w:tc>
        <w:tc>
          <w:tcPr>
            <w:vAlign w:val="bottom"/>
          </w:tcPr>
          <w:p w:rsidR="00000000" w:rsidDel="00000000" w:rsidP="00000000" w:rsidRDefault="00000000" w:rsidRPr="00000000" w14:paraId="00000230">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31">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2">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233">
            <w:pPr>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234">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High</w:t>
            </w:r>
          </w:p>
        </w:tc>
        <w:tc>
          <w:tcPr>
            <w:vAlign w:val="bottom"/>
          </w:tcPr>
          <w:p w:rsidR="00000000" w:rsidDel="00000000" w:rsidP="00000000" w:rsidRDefault="00000000" w:rsidRPr="00000000" w14:paraId="00000235">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11</w:t>
            </w:r>
            <w:r w:rsidDel="00000000" w:rsidR="00000000" w:rsidRPr="00000000">
              <w:rPr>
                <w:rtl w:val="0"/>
              </w:rPr>
            </w:r>
          </w:p>
        </w:tc>
        <w:tc>
          <w:tcPr>
            <w:vAlign w:val="bottom"/>
          </w:tcPr>
          <w:p w:rsidR="00000000" w:rsidDel="00000000" w:rsidP="00000000" w:rsidRDefault="00000000" w:rsidRPr="00000000" w14:paraId="00000236">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19.3</w:t>
            </w:r>
            <w:r w:rsidDel="00000000" w:rsidR="00000000" w:rsidRPr="00000000">
              <w:rPr>
                <w:rtl w:val="0"/>
              </w:rPr>
            </w:r>
          </w:p>
        </w:tc>
        <w:tc>
          <w:tcPr>
            <w:vAlign w:val="bottom"/>
          </w:tcPr>
          <w:p w:rsidR="00000000" w:rsidDel="00000000" w:rsidP="00000000" w:rsidRDefault="00000000" w:rsidRPr="00000000" w14:paraId="00000237">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38">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39">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3A">
            <w:pPr>
              <w:rPr>
                <w:rFonts w:ascii="Book Antiqua" w:cs="Book Antiqua" w:eastAsia="Book Antiqua" w:hAnsi="Book Antiqua"/>
              </w:rPr>
            </w:pPr>
            <w:r w:rsidDel="00000000" w:rsidR="00000000" w:rsidRPr="00000000">
              <w:rPr>
                <w:rtl w:val="0"/>
              </w:rPr>
            </w:r>
          </w:p>
        </w:tc>
        <w:tc>
          <w:tcPr>
            <w:shd w:fill="d9d9d9" w:val="clear"/>
          </w:tcPr>
          <w:p w:rsidR="00000000" w:rsidDel="00000000" w:rsidP="00000000" w:rsidRDefault="00000000" w:rsidRPr="00000000" w14:paraId="0000023B">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23C">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57</w:t>
            </w:r>
            <w:r w:rsidDel="00000000" w:rsidR="00000000" w:rsidRPr="00000000">
              <w:rPr>
                <w:rtl w:val="0"/>
              </w:rPr>
            </w:r>
          </w:p>
        </w:tc>
        <w:tc>
          <w:tcPr>
            <w:shd w:fill="d9d9d9" w:val="clear"/>
          </w:tcPr>
          <w:p w:rsidR="00000000" w:rsidDel="00000000" w:rsidP="00000000" w:rsidRDefault="00000000" w:rsidRPr="00000000" w14:paraId="0000023D">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tcPr>
          <w:p w:rsidR="00000000" w:rsidDel="00000000" w:rsidP="00000000" w:rsidRDefault="00000000" w:rsidRPr="00000000" w14:paraId="0000023E">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41.51</w:t>
            </w:r>
          </w:p>
        </w:tc>
        <w:tc>
          <w:tcPr>
            <w:shd w:fill="d9d9d9" w:val="clear"/>
          </w:tcPr>
          <w:p w:rsidR="00000000" w:rsidDel="00000000" w:rsidP="00000000" w:rsidRDefault="00000000" w:rsidRPr="00000000" w14:paraId="0000023F">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13.42</w:t>
            </w:r>
          </w:p>
        </w:tc>
      </w:tr>
      <w:tr>
        <w:trPr>
          <w:cantSplit w:val="0"/>
          <w:tblHeader w:val="0"/>
        </w:trPr>
        <w:tc>
          <w:tcPr>
            <w:gridSpan w:val="7"/>
          </w:tcPr>
          <w:p w:rsidR="00000000" w:rsidDel="00000000" w:rsidP="00000000" w:rsidRDefault="00000000" w:rsidRPr="00000000" w14:paraId="0000024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41">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What device is used to binge-watch?</w:t>
            </w:r>
          </w:p>
          <w:p w:rsidR="00000000" w:rsidDel="00000000" w:rsidP="00000000" w:rsidRDefault="00000000" w:rsidRPr="00000000" w14:paraId="00000242">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43">
            <w:pPr>
              <w:rPr>
                <w:rFonts w:ascii="Book Antiqua" w:cs="Book Antiqua" w:eastAsia="Book Antiqua" w:hAnsi="Book Antiqua"/>
                <w:b w:val="1"/>
              </w:rPr>
            </w:pPr>
            <w:r w:rsidDel="00000000" w:rsidR="00000000" w:rsidRPr="00000000">
              <w:rPr>
                <w:rtl w:val="0"/>
              </w:rPr>
            </w:r>
          </w:p>
        </w:tc>
      </w:tr>
      <w:tr>
        <w:trPr>
          <w:cantSplit w:val="0"/>
          <w:tblHeader w:val="0"/>
        </w:trPr>
        <w:tc>
          <w:tcPr/>
          <w:p w:rsidR="00000000" w:rsidDel="00000000" w:rsidP="00000000" w:rsidRDefault="00000000" w:rsidRPr="00000000" w14:paraId="0000024A">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4B">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Television</w:t>
            </w:r>
          </w:p>
        </w:tc>
        <w:tc>
          <w:tcPr>
            <w:vAlign w:val="bottom"/>
          </w:tcPr>
          <w:p w:rsidR="00000000" w:rsidDel="00000000" w:rsidP="00000000" w:rsidRDefault="00000000" w:rsidRPr="00000000" w14:paraId="0000024D">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15</w:t>
            </w:r>
          </w:p>
        </w:tc>
        <w:tc>
          <w:tcPr>
            <w:vAlign w:val="bottom"/>
          </w:tcPr>
          <w:p w:rsidR="00000000" w:rsidDel="00000000" w:rsidP="00000000" w:rsidRDefault="00000000" w:rsidRPr="00000000" w14:paraId="0000024E">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10.10</w:t>
            </w:r>
          </w:p>
        </w:tc>
        <w:tc>
          <w:tcPr>
            <w:vAlign w:val="bottom"/>
          </w:tcPr>
          <w:p w:rsidR="00000000" w:rsidDel="00000000" w:rsidP="00000000" w:rsidRDefault="00000000" w:rsidRPr="00000000" w14:paraId="0000024F">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50">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1">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5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Handphone/Tablet</w:t>
            </w:r>
          </w:p>
        </w:tc>
        <w:tc>
          <w:tcPr>
            <w:vAlign w:val="bottom"/>
          </w:tcPr>
          <w:p w:rsidR="00000000" w:rsidDel="00000000" w:rsidP="00000000" w:rsidRDefault="00000000" w:rsidRPr="00000000" w14:paraId="00000254">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85</w:t>
            </w:r>
          </w:p>
        </w:tc>
        <w:tc>
          <w:tcPr>
            <w:vAlign w:val="bottom"/>
          </w:tcPr>
          <w:p w:rsidR="00000000" w:rsidDel="00000000" w:rsidP="00000000" w:rsidRDefault="00000000" w:rsidRPr="00000000" w14:paraId="00000255">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57.00</w:t>
            </w:r>
          </w:p>
        </w:tc>
        <w:tc>
          <w:tcPr>
            <w:vAlign w:val="bottom"/>
          </w:tcPr>
          <w:p w:rsidR="00000000" w:rsidDel="00000000" w:rsidP="00000000" w:rsidRDefault="00000000" w:rsidRPr="00000000" w14:paraId="00000256">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57">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8">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59">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Laptop</w:t>
            </w:r>
          </w:p>
        </w:tc>
        <w:tc>
          <w:tcPr>
            <w:vAlign w:val="bottom"/>
          </w:tcPr>
          <w:p w:rsidR="00000000" w:rsidDel="00000000" w:rsidP="00000000" w:rsidRDefault="00000000" w:rsidRPr="00000000" w14:paraId="0000025B">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46</w:t>
            </w:r>
          </w:p>
        </w:tc>
        <w:tc>
          <w:tcPr>
            <w:vAlign w:val="bottom"/>
          </w:tcPr>
          <w:p w:rsidR="00000000" w:rsidDel="00000000" w:rsidP="00000000" w:rsidRDefault="00000000" w:rsidRPr="00000000" w14:paraId="0000025C">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30.90</w:t>
            </w:r>
          </w:p>
        </w:tc>
        <w:tc>
          <w:tcPr>
            <w:vAlign w:val="bottom"/>
          </w:tcPr>
          <w:p w:rsidR="00000000" w:rsidDel="00000000" w:rsidP="00000000" w:rsidRDefault="00000000" w:rsidRPr="00000000" w14:paraId="0000025D">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5E">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F">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60">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Others</w:t>
            </w:r>
          </w:p>
        </w:tc>
        <w:tc>
          <w:tcPr>
            <w:vAlign w:val="bottom"/>
          </w:tcPr>
          <w:p w:rsidR="00000000" w:rsidDel="00000000" w:rsidP="00000000" w:rsidRDefault="00000000" w:rsidRPr="00000000" w14:paraId="00000262">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3</w:t>
            </w:r>
          </w:p>
        </w:tc>
        <w:tc>
          <w:tcPr>
            <w:vAlign w:val="bottom"/>
          </w:tcPr>
          <w:p w:rsidR="00000000" w:rsidDel="00000000" w:rsidP="00000000" w:rsidRDefault="00000000" w:rsidRPr="00000000" w14:paraId="00000263">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2.00</w:t>
            </w:r>
          </w:p>
        </w:tc>
        <w:tc>
          <w:tcPr>
            <w:vAlign w:val="bottom"/>
          </w:tcPr>
          <w:p w:rsidR="00000000" w:rsidDel="00000000" w:rsidP="00000000" w:rsidRDefault="00000000" w:rsidRPr="00000000" w14:paraId="00000264">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65">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66">
            <w:pPr>
              <w:rPr>
                <w:rFonts w:ascii="Book Antiqua" w:cs="Book Antiqua" w:eastAsia="Book Antiqua" w:hAnsi="Book Antiqua"/>
              </w:rPr>
            </w:pPr>
            <w:r w:rsidDel="00000000" w:rsidR="00000000" w:rsidRPr="00000000">
              <w:rPr>
                <w:rtl w:val="0"/>
              </w:rPr>
            </w:r>
          </w:p>
        </w:tc>
        <w:tc>
          <w:tcPr>
            <w:gridSpan w:val="2"/>
            <w:shd w:fill="d9d9d9" w:val="clear"/>
          </w:tcPr>
          <w:p w:rsidR="00000000" w:rsidDel="00000000" w:rsidP="00000000" w:rsidRDefault="00000000" w:rsidRPr="00000000" w14:paraId="00000267">
            <w:pPr>
              <w:rPr>
                <w:rFonts w:ascii="Book Antiqua" w:cs="Book Antiqua" w:eastAsia="Book Antiqua" w:hAnsi="Book Antiqua"/>
                <w:color w:val="000000"/>
              </w:rPr>
            </w:pPr>
            <w:r w:rsidDel="00000000" w:rsidR="00000000" w:rsidRPr="00000000">
              <w:rPr>
                <w:rtl w:val="0"/>
              </w:rPr>
            </w:r>
          </w:p>
        </w:tc>
        <w:tc>
          <w:tcPr>
            <w:shd w:fill="d9d9d9" w:val="clear"/>
          </w:tcPr>
          <w:p w:rsidR="00000000" w:rsidDel="00000000" w:rsidP="00000000" w:rsidRDefault="00000000" w:rsidRPr="00000000" w14:paraId="00000269">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149</w:t>
            </w:r>
            <w:r w:rsidDel="00000000" w:rsidR="00000000" w:rsidRPr="00000000">
              <w:rPr>
                <w:rtl w:val="0"/>
              </w:rPr>
            </w:r>
          </w:p>
        </w:tc>
        <w:tc>
          <w:tcPr>
            <w:shd w:fill="d9d9d9" w:val="clear"/>
          </w:tcPr>
          <w:p w:rsidR="00000000" w:rsidDel="00000000" w:rsidP="00000000" w:rsidRDefault="00000000" w:rsidRPr="00000000" w14:paraId="0000026A">
            <w:pPr>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rtl w:val="0"/>
              </w:rPr>
              <w:t xml:space="preserve">100</w:t>
            </w:r>
            <w:r w:rsidDel="00000000" w:rsidR="00000000" w:rsidRPr="00000000">
              <w:rPr>
                <w:rtl w:val="0"/>
              </w:rPr>
            </w:r>
          </w:p>
        </w:tc>
        <w:tc>
          <w:tcPr>
            <w:shd w:fill="d9d9d9" w:val="clear"/>
            <w:vAlign w:val="bottom"/>
          </w:tcPr>
          <w:p w:rsidR="00000000" w:rsidDel="00000000" w:rsidP="00000000" w:rsidRDefault="00000000" w:rsidRPr="00000000" w14:paraId="0000026B">
            <w:pPr>
              <w:jc w:val="center"/>
              <w:rPr>
                <w:rFonts w:ascii="Book Antiqua" w:cs="Book Antiqua" w:eastAsia="Book Antiqua" w:hAnsi="Book Antiqua"/>
                <w:color w:val="000000"/>
              </w:rPr>
            </w:pPr>
            <w:r w:rsidDel="00000000" w:rsidR="00000000" w:rsidRPr="00000000">
              <w:rPr>
                <w:rtl w:val="0"/>
              </w:rPr>
            </w:r>
          </w:p>
        </w:tc>
        <w:tc>
          <w:tcPr>
            <w:shd w:fill="d9d9d9" w:val="clear"/>
            <w:vAlign w:val="bottom"/>
          </w:tcPr>
          <w:p w:rsidR="00000000" w:rsidDel="00000000" w:rsidP="00000000" w:rsidRDefault="00000000" w:rsidRPr="00000000" w14:paraId="0000026C">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26D">
            <w:pPr>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6E">
            <w:pPr>
              <w:jc w:val="left"/>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When binge-watch?</w:t>
            </w:r>
          </w:p>
          <w:p w:rsidR="00000000" w:rsidDel="00000000" w:rsidP="00000000" w:rsidRDefault="00000000" w:rsidRPr="00000000" w14:paraId="0000026F">
            <w:pPr>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70">
            <w:pPr>
              <w:jc w:val="left"/>
              <w:rPr>
                <w:rFonts w:ascii="Book Antiqua" w:cs="Book Antiqua" w:eastAsia="Book Antiqua" w:hAnsi="Book Antiqua"/>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7">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78">
            <w:pPr>
              <w:jc w:val="left"/>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Anytime when I am free</w:t>
            </w:r>
            <w:r w:rsidDel="00000000" w:rsidR="00000000" w:rsidRPr="00000000">
              <w:rPr>
                <w:rtl w:val="0"/>
              </w:rPr>
            </w:r>
          </w:p>
        </w:tc>
        <w:tc>
          <w:tcPr/>
          <w:p w:rsidR="00000000" w:rsidDel="00000000" w:rsidP="00000000" w:rsidRDefault="00000000" w:rsidRPr="00000000" w14:paraId="0000027A">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117</w:t>
            </w:r>
            <w:r w:rsidDel="00000000" w:rsidR="00000000" w:rsidRPr="00000000">
              <w:rPr>
                <w:rtl w:val="0"/>
              </w:rPr>
            </w:r>
          </w:p>
        </w:tc>
        <w:tc>
          <w:tcPr/>
          <w:p w:rsidR="00000000" w:rsidDel="00000000" w:rsidP="00000000" w:rsidRDefault="00000000" w:rsidRPr="00000000" w14:paraId="0000027B">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78.50</w:t>
            </w:r>
            <w:r w:rsidDel="00000000" w:rsidR="00000000" w:rsidRPr="00000000">
              <w:rPr>
                <w:rtl w:val="0"/>
              </w:rPr>
            </w:r>
          </w:p>
        </w:tc>
        <w:tc>
          <w:tcPr>
            <w:vAlign w:val="bottom"/>
          </w:tcPr>
          <w:p w:rsidR="00000000" w:rsidDel="00000000" w:rsidP="00000000" w:rsidRDefault="00000000" w:rsidRPr="00000000" w14:paraId="0000027C">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7D">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E">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7F">
            <w:pPr>
              <w:jc w:val="left"/>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During study period (apart from the semester break)</w:t>
            </w:r>
            <w:r w:rsidDel="00000000" w:rsidR="00000000" w:rsidRPr="00000000">
              <w:rPr>
                <w:rtl w:val="0"/>
              </w:rPr>
            </w:r>
          </w:p>
        </w:tc>
        <w:tc>
          <w:tcPr/>
          <w:p w:rsidR="00000000" w:rsidDel="00000000" w:rsidP="00000000" w:rsidRDefault="00000000" w:rsidRPr="00000000" w14:paraId="00000281">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4</w:t>
            </w:r>
            <w:r w:rsidDel="00000000" w:rsidR="00000000" w:rsidRPr="00000000">
              <w:rPr>
                <w:rtl w:val="0"/>
              </w:rPr>
            </w:r>
          </w:p>
        </w:tc>
        <w:tc>
          <w:tcPr/>
          <w:p w:rsidR="00000000" w:rsidDel="00000000" w:rsidP="00000000" w:rsidRDefault="00000000" w:rsidRPr="00000000" w14:paraId="00000282">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2.70</w:t>
            </w:r>
            <w:r w:rsidDel="00000000" w:rsidR="00000000" w:rsidRPr="00000000">
              <w:rPr>
                <w:rtl w:val="0"/>
              </w:rPr>
            </w:r>
          </w:p>
        </w:tc>
        <w:tc>
          <w:tcPr>
            <w:vAlign w:val="bottom"/>
          </w:tcPr>
          <w:p w:rsidR="00000000" w:rsidDel="00000000" w:rsidP="00000000" w:rsidRDefault="00000000" w:rsidRPr="00000000" w14:paraId="00000283">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84">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85">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86">
            <w:pPr>
              <w:jc w:val="left"/>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During semester break only</w:t>
            </w:r>
            <w:r w:rsidDel="00000000" w:rsidR="00000000" w:rsidRPr="00000000">
              <w:rPr>
                <w:rtl w:val="0"/>
              </w:rPr>
            </w:r>
          </w:p>
        </w:tc>
        <w:tc>
          <w:tcPr/>
          <w:p w:rsidR="00000000" w:rsidDel="00000000" w:rsidP="00000000" w:rsidRDefault="00000000" w:rsidRPr="00000000" w14:paraId="00000288">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20</w:t>
            </w:r>
            <w:r w:rsidDel="00000000" w:rsidR="00000000" w:rsidRPr="00000000">
              <w:rPr>
                <w:rtl w:val="0"/>
              </w:rPr>
            </w:r>
          </w:p>
        </w:tc>
        <w:tc>
          <w:tcPr/>
          <w:p w:rsidR="00000000" w:rsidDel="00000000" w:rsidP="00000000" w:rsidRDefault="00000000" w:rsidRPr="00000000" w14:paraId="00000289">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13.40</w:t>
            </w:r>
            <w:r w:rsidDel="00000000" w:rsidR="00000000" w:rsidRPr="00000000">
              <w:rPr>
                <w:rtl w:val="0"/>
              </w:rPr>
            </w:r>
          </w:p>
        </w:tc>
        <w:tc>
          <w:tcPr>
            <w:vAlign w:val="bottom"/>
          </w:tcPr>
          <w:p w:rsidR="00000000" w:rsidDel="00000000" w:rsidP="00000000" w:rsidRDefault="00000000" w:rsidRPr="00000000" w14:paraId="0000028A">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8B">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8C">
            <w:pPr>
              <w:rPr>
                <w:rFonts w:ascii="Book Antiqua" w:cs="Book Antiqua" w:eastAsia="Book Antiqua" w:hAnsi="Book Antiqua"/>
              </w:rPr>
            </w:pPr>
            <w:r w:rsidDel="00000000" w:rsidR="00000000" w:rsidRPr="00000000">
              <w:rPr>
                <w:rtl w:val="0"/>
              </w:rPr>
            </w:r>
          </w:p>
        </w:tc>
        <w:tc>
          <w:tcPr>
            <w:gridSpan w:val="2"/>
            <w:vAlign w:val="bottom"/>
          </w:tcPr>
          <w:p w:rsidR="00000000" w:rsidDel="00000000" w:rsidP="00000000" w:rsidRDefault="00000000" w:rsidRPr="00000000" w14:paraId="0000028D">
            <w:pPr>
              <w:jc w:val="left"/>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Others (at night, when in a mood, or when I have someone accompanying me to watch)</w:t>
            </w:r>
            <w:r w:rsidDel="00000000" w:rsidR="00000000" w:rsidRPr="00000000">
              <w:rPr>
                <w:rtl w:val="0"/>
              </w:rPr>
            </w:r>
          </w:p>
        </w:tc>
        <w:tc>
          <w:tcPr/>
          <w:p w:rsidR="00000000" w:rsidDel="00000000" w:rsidP="00000000" w:rsidRDefault="00000000" w:rsidRPr="00000000" w14:paraId="0000028F">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8</w:t>
            </w:r>
            <w:r w:rsidDel="00000000" w:rsidR="00000000" w:rsidRPr="00000000">
              <w:rPr>
                <w:rtl w:val="0"/>
              </w:rPr>
            </w:r>
          </w:p>
        </w:tc>
        <w:tc>
          <w:tcPr/>
          <w:p w:rsidR="00000000" w:rsidDel="00000000" w:rsidP="00000000" w:rsidRDefault="00000000" w:rsidRPr="00000000" w14:paraId="00000290">
            <w:pPr>
              <w:jc w:val="center"/>
              <w:rPr>
                <w:rFonts w:ascii="Book Antiqua" w:cs="Book Antiqua" w:eastAsia="Book Antiqua" w:hAnsi="Book Antiqua"/>
                <w:b w:val="1"/>
              </w:rPr>
            </w:pPr>
            <w:r w:rsidDel="00000000" w:rsidR="00000000" w:rsidRPr="00000000">
              <w:rPr>
                <w:rFonts w:ascii="Book Antiqua" w:cs="Book Antiqua" w:eastAsia="Book Antiqua" w:hAnsi="Book Antiqua"/>
                <w:color w:val="000000"/>
                <w:rtl w:val="0"/>
              </w:rPr>
              <w:t xml:space="preserve">5.40</w:t>
            </w:r>
            <w:r w:rsidDel="00000000" w:rsidR="00000000" w:rsidRPr="00000000">
              <w:rPr>
                <w:rtl w:val="0"/>
              </w:rPr>
            </w:r>
          </w:p>
        </w:tc>
        <w:tc>
          <w:tcPr>
            <w:vAlign w:val="bottom"/>
          </w:tcPr>
          <w:p w:rsidR="00000000" w:rsidDel="00000000" w:rsidP="00000000" w:rsidRDefault="00000000" w:rsidRPr="00000000" w14:paraId="00000291">
            <w:pPr>
              <w:jc w:val="center"/>
              <w:rPr>
                <w:rFonts w:ascii="Book Antiqua" w:cs="Book Antiqua" w:eastAsia="Book Antiqua" w:hAnsi="Book Antiqua"/>
                <w:color w:val="000000"/>
              </w:rPr>
            </w:pPr>
            <w:r w:rsidDel="00000000" w:rsidR="00000000" w:rsidRPr="00000000">
              <w:rPr>
                <w:rtl w:val="0"/>
              </w:rPr>
            </w:r>
          </w:p>
        </w:tc>
        <w:tc>
          <w:tcPr>
            <w:vAlign w:val="bottom"/>
          </w:tcPr>
          <w:p w:rsidR="00000000" w:rsidDel="00000000" w:rsidP="00000000" w:rsidRDefault="00000000" w:rsidRPr="00000000" w14:paraId="00000292">
            <w:pPr>
              <w:jc w:val="center"/>
              <w:rPr>
                <w:rFonts w:ascii="Book Antiqua" w:cs="Book Antiqua" w:eastAsia="Book Antiqua" w:hAnsi="Book Antiqua"/>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293">
            <w:pPr>
              <w:rPr>
                <w:rFonts w:ascii="Book Antiqua" w:cs="Book Antiqua" w:eastAsia="Book Antiqua" w:hAnsi="Book Antiqua"/>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294">
            <w:pPr>
              <w:rPr>
                <w:rFonts w:ascii="Book Antiqua" w:cs="Book Antiqua" w:eastAsia="Book Antiqua" w:hAnsi="Book Antiqua"/>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296">
            <w:pPr>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149</w:t>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297">
            <w:pPr>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100</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298">
            <w:pPr>
              <w:jc w:val="center"/>
              <w:rPr>
                <w:rFonts w:ascii="Book Antiqua" w:cs="Book Antiqua" w:eastAsia="Book Antiqua" w:hAnsi="Book Antiqua"/>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299">
            <w:pPr>
              <w:jc w:val="center"/>
              <w:rPr>
                <w:rFonts w:ascii="Book Antiqua" w:cs="Book Antiqua" w:eastAsia="Book Antiqua" w:hAnsi="Book Antiqua"/>
                <w:color w:val="000000"/>
              </w:rPr>
            </w:pPr>
            <w:r w:rsidDel="00000000" w:rsidR="00000000" w:rsidRPr="00000000">
              <w:rPr>
                <w:rtl w:val="0"/>
              </w:rPr>
            </w:r>
          </w:p>
        </w:tc>
      </w:tr>
    </w:tbl>
    <w:p w:rsidR="00000000" w:rsidDel="00000000" w:rsidP="00000000" w:rsidRDefault="00000000" w:rsidRPr="00000000" w14:paraId="0000029A">
      <w:pPr>
        <w:jc w:val="both"/>
        <w:rPr>
          <w:sz w:val="22"/>
          <w:szCs w:val="22"/>
        </w:rPr>
      </w:pPr>
      <w:r w:rsidDel="00000000" w:rsidR="00000000" w:rsidRPr="00000000">
        <w:rPr>
          <w:rtl w:val="0"/>
        </w:rPr>
      </w:r>
    </w:p>
    <w:p w:rsidR="00000000" w:rsidDel="00000000" w:rsidP="00000000" w:rsidRDefault="00000000" w:rsidRPr="00000000" w14:paraId="0000029B">
      <w:pPr>
        <w:ind w:firstLine="720"/>
        <w:jc w:val="both"/>
        <w:rPr>
          <w:sz w:val="22"/>
          <w:szCs w:val="22"/>
        </w:rPr>
      </w:pPr>
      <w:r w:rsidDel="00000000" w:rsidR="00000000" w:rsidRPr="00000000">
        <w:rPr>
          <w:sz w:val="22"/>
          <w:szCs w:val="22"/>
          <w:rtl w:val="0"/>
        </w:rPr>
        <w:t xml:space="preserve">Table 4 shows that the overall prevalence of participants reporting moderate binge-watching (</w:t>
      </w:r>
      <w:r w:rsidDel="00000000" w:rsidR="00000000" w:rsidRPr="00000000">
        <w:rPr>
          <w:i w:val="1"/>
          <w:sz w:val="22"/>
          <w:szCs w:val="22"/>
          <w:rtl w:val="0"/>
        </w:rPr>
        <w:t xml:space="preserve">M</w:t>
      </w:r>
      <w:r w:rsidDel="00000000" w:rsidR="00000000" w:rsidRPr="00000000">
        <w:rPr>
          <w:sz w:val="22"/>
          <w:szCs w:val="22"/>
          <w:rtl w:val="0"/>
        </w:rPr>
        <w:t xml:space="preserve"> = 40.74; </w:t>
      </w:r>
      <w:r w:rsidDel="00000000" w:rsidR="00000000" w:rsidRPr="00000000">
        <w:rPr>
          <w:i w:val="1"/>
          <w:sz w:val="22"/>
          <w:szCs w:val="22"/>
          <w:rtl w:val="0"/>
        </w:rPr>
        <w:t xml:space="preserve">SD</w:t>
      </w:r>
      <w:r w:rsidDel="00000000" w:rsidR="00000000" w:rsidRPr="00000000">
        <w:rPr>
          <w:sz w:val="22"/>
          <w:szCs w:val="22"/>
          <w:rtl w:val="0"/>
        </w:rPr>
        <w:t xml:space="preserve"> = 6.91) is 66.4% (</w:t>
      </w:r>
      <w:r w:rsidDel="00000000" w:rsidR="00000000" w:rsidRPr="00000000">
        <w:rPr>
          <w:i w:val="1"/>
          <w:sz w:val="22"/>
          <w:szCs w:val="22"/>
          <w:rtl w:val="0"/>
        </w:rPr>
        <w:t xml:space="preserve">n</w:t>
      </w:r>
      <w:r w:rsidDel="00000000" w:rsidR="00000000" w:rsidRPr="00000000">
        <w:rPr>
          <w:sz w:val="22"/>
          <w:szCs w:val="22"/>
          <w:rtl w:val="0"/>
        </w:rPr>
        <w:t xml:space="preserve"> = 99), while 26 (17.4%) report high binge-watching (</w:t>
      </w:r>
      <w:r w:rsidDel="00000000" w:rsidR="00000000" w:rsidRPr="00000000">
        <w:rPr>
          <w:i w:val="1"/>
          <w:sz w:val="22"/>
          <w:szCs w:val="22"/>
          <w:rtl w:val="0"/>
        </w:rPr>
        <w:t xml:space="preserve">M </w:t>
      </w:r>
      <w:r w:rsidDel="00000000" w:rsidR="00000000" w:rsidRPr="00000000">
        <w:rPr>
          <w:sz w:val="22"/>
          <w:szCs w:val="22"/>
          <w:rtl w:val="0"/>
        </w:rPr>
        <w:t xml:space="preserve">= 60.46; </w:t>
      </w:r>
      <w:r w:rsidDel="00000000" w:rsidR="00000000" w:rsidRPr="00000000">
        <w:rPr>
          <w:i w:val="1"/>
          <w:sz w:val="22"/>
          <w:szCs w:val="22"/>
          <w:rtl w:val="0"/>
        </w:rPr>
        <w:t xml:space="preserve">SD</w:t>
      </w:r>
      <w:r w:rsidDel="00000000" w:rsidR="00000000" w:rsidRPr="00000000">
        <w:rPr>
          <w:sz w:val="22"/>
          <w:szCs w:val="22"/>
          <w:rtl w:val="0"/>
        </w:rPr>
        <w:t xml:space="preserve"> = 5.87). Perceived stress has a similar trend, with over three-quarters of participants (</w:t>
      </w:r>
      <w:r w:rsidDel="00000000" w:rsidR="00000000" w:rsidRPr="00000000">
        <w:rPr>
          <w:i w:val="1"/>
          <w:sz w:val="22"/>
          <w:szCs w:val="22"/>
          <w:rtl w:val="0"/>
        </w:rPr>
        <w:t xml:space="preserve">n</w:t>
      </w:r>
      <w:r w:rsidDel="00000000" w:rsidR="00000000" w:rsidRPr="00000000">
        <w:rPr>
          <w:sz w:val="22"/>
          <w:szCs w:val="22"/>
          <w:rtl w:val="0"/>
        </w:rPr>
        <w:t xml:space="preserve"> = 119; 79.9%) being moderately stressed (</w:t>
      </w:r>
      <w:r w:rsidDel="00000000" w:rsidR="00000000" w:rsidRPr="00000000">
        <w:rPr>
          <w:i w:val="1"/>
          <w:sz w:val="22"/>
          <w:szCs w:val="22"/>
          <w:rtl w:val="0"/>
        </w:rPr>
        <w:t xml:space="preserve">M</w:t>
      </w:r>
      <w:r w:rsidDel="00000000" w:rsidR="00000000" w:rsidRPr="00000000">
        <w:rPr>
          <w:sz w:val="22"/>
          <w:szCs w:val="22"/>
          <w:rtl w:val="0"/>
        </w:rPr>
        <w:t xml:space="preserve"> = 20.49; </w:t>
      </w:r>
      <w:r w:rsidDel="00000000" w:rsidR="00000000" w:rsidRPr="00000000">
        <w:rPr>
          <w:i w:val="1"/>
          <w:sz w:val="22"/>
          <w:szCs w:val="22"/>
          <w:rtl w:val="0"/>
        </w:rPr>
        <w:t xml:space="preserve">SD</w:t>
      </w:r>
      <w:r w:rsidDel="00000000" w:rsidR="00000000" w:rsidRPr="00000000">
        <w:rPr>
          <w:sz w:val="22"/>
          <w:szCs w:val="22"/>
          <w:rtl w:val="0"/>
        </w:rPr>
        <w:t xml:space="preserve"> = 3.21) and 14.1% (</w:t>
      </w:r>
      <w:r w:rsidDel="00000000" w:rsidR="00000000" w:rsidRPr="00000000">
        <w:rPr>
          <w:i w:val="1"/>
          <w:sz w:val="22"/>
          <w:szCs w:val="22"/>
          <w:rtl w:val="0"/>
        </w:rPr>
        <w:t xml:space="preserve">n</w:t>
      </w:r>
      <w:r w:rsidDel="00000000" w:rsidR="00000000" w:rsidRPr="00000000">
        <w:rPr>
          <w:sz w:val="22"/>
          <w:szCs w:val="22"/>
          <w:rtl w:val="0"/>
        </w:rPr>
        <w:t xml:space="preserve"> = 21) reporting high stress (</w:t>
      </w:r>
      <w:r w:rsidDel="00000000" w:rsidR="00000000" w:rsidRPr="00000000">
        <w:rPr>
          <w:i w:val="1"/>
          <w:sz w:val="22"/>
          <w:szCs w:val="22"/>
          <w:rtl w:val="0"/>
        </w:rPr>
        <w:t xml:space="preserve">M</w:t>
      </w:r>
      <w:r w:rsidDel="00000000" w:rsidR="00000000" w:rsidRPr="00000000">
        <w:rPr>
          <w:sz w:val="22"/>
          <w:szCs w:val="22"/>
          <w:rtl w:val="0"/>
        </w:rPr>
        <w:t xml:space="preserve"> = 31.76; </w:t>
      </w:r>
      <w:r w:rsidDel="00000000" w:rsidR="00000000" w:rsidRPr="00000000">
        <w:rPr>
          <w:i w:val="1"/>
          <w:sz w:val="22"/>
          <w:szCs w:val="22"/>
          <w:rtl w:val="0"/>
        </w:rPr>
        <w:t xml:space="preserve">SD</w:t>
      </w:r>
      <w:r w:rsidDel="00000000" w:rsidR="00000000" w:rsidRPr="00000000">
        <w:rPr>
          <w:sz w:val="22"/>
          <w:szCs w:val="22"/>
          <w:rtl w:val="0"/>
        </w:rPr>
        <w:t xml:space="preserve"> = 3.74).</w:t>
      </w:r>
    </w:p>
    <w:p w:rsidR="00000000" w:rsidDel="00000000" w:rsidP="00000000" w:rsidRDefault="00000000" w:rsidRPr="00000000" w14:paraId="0000029C">
      <w:pPr>
        <w:ind w:firstLine="72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29D">
      <w:pPr>
        <w:ind w:firstLine="720"/>
        <w:jc w:val="both"/>
        <w:rPr>
          <w:sz w:val="22"/>
          <w:szCs w:val="22"/>
        </w:rPr>
      </w:pPr>
      <w:r w:rsidDel="00000000" w:rsidR="00000000" w:rsidRPr="00000000">
        <w:rPr>
          <w:sz w:val="22"/>
          <w:szCs w:val="22"/>
          <w:rtl w:val="0"/>
        </w:rPr>
        <w:t xml:space="preserve">It is of concern that although 59 (39.6%) participants score within the normal range on the Social Interaction Anxiety Scale (</w:t>
      </w:r>
      <w:r w:rsidDel="00000000" w:rsidR="00000000" w:rsidRPr="00000000">
        <w:rPr>
          <w:i w:val="1"/>
          <w:sz w:val="22"/>
          <w:szCs w:val="22"/>
          <w:rtl w:val="0"/>
        </w:rPr>
        <w:t xml:space="preserve">M</w:t>
      </w:r>
      <w:r w:rsidDel="00000000" w:rsidR="00000000" w:rsidRPr="00000000">
        <w:rPr>
          <w:sz w:val="22"/>
          <w:szCs w:val="22"/>
          <w:rtl w:val="0"/>
        </w:rPr>
        <w:t xml:space="preserve"> = 24.07; </w:t>
      </w:r>
      <w:r w:rsidDel="00000000" w:rsidR="00000000" w:rsidRPr="00000000">
        <w:rPr>
          <w:i w:val="1"/>
          <w:sz w:val="22"/>
          <w:szCs w:val="22"/>
          <w:rtl w:val="0"/>
        </w:rPr>
        <w:t xml:space="preserve">SD</w:t>
      </w:r>
      <w:r w:rsidDel="00000000" w:rsidR="00000000" w:rsidRPr="00000000">
        <w:rPr>
          <w:sz w:val="22"/>
          <w:szCs w:val="22"/>
          <w:rtl w:val="0"/>
        </w:rPr>
        <w:t xml:space="preserve"> = 8.64), 90 (60.4%) of them meet or exceed the clinical cut-off of 34, which is recommended by Mattick and Clarke (1998). This result indicates that most participants are reporting signs of anxiety in social interaction. Perhaps the most profound result of our study is that a striking 73.8% (</w:t>
      </w:r>
      <w:r w:rsidDel="00000000" w:rsidR="00000000" w:rsidRPr="00000000">
        <w:rPr>
          <w:i w:val="1"/>
          <w:sz w:val="22"/>
          <w:szCs w:val="22"/>
          <w:rtl w:val="0"/>
        </w:rPr>
        <w:t xml:space="preserve">n </w:t>
      </w:r>
      <w:r w:rsidDel="00000000" w:rsidR="00000000" w:rsidRPr="00000000">
        <w:rPr>
          <w:sz w:val="22"/>
          <w:szCs w:val="22"/>
          <w:rtl w:val="0"/>
        </w:rPr>
        <w:t xml:space="preserve">= 110) of all participants report high levels of loneliness (</w:t>
      </w:r>
      <w:r w:rsidDel="00000000" w:rsidR="00000000" w:rsidRPr="00000000">
        <w:rPr>
          <w:i w:val="1"/>
          <w:sz w:val="22"/>
          <w:szCs w:val="22"/>
          <w:rtl w:val="0"/>
        </w:rPr>
        <w:t xml:space="preserve">M</w:t>
      </w:r>
      <w:r w:rsidDel="00000000" w:rsidR="00000000" w:rsidRPr="00000000">
        <w:rPr>
          <w:sz w:val="22"/>
          <w:szCs w:val="22"/>
          <w:rtl w:val="0"/>
        </w:rPr>
        <w:t xml:space="preserve"> = 54.18;  </w:t>
      </w:r>
      <w:r w:rsidDel="00000000" w:rsidR="00000000" w:rsidRPr="00000000">
        <w:rPr>
          <w:i w:val="1"/>
          <w:sz w:val="22"/>
          <w:szCs w:val="22"/>
          <w:rtl w:val="0"/>
        </w:rPr>
        <w:t xml:space="preserve">SD</w:t>
      </w:r>
      <w:r w:rsidDel="00000000" w:rsidR="00000000" w:rsidRPr="00000000">
        <w:rPr>
          <w:sz w:val="22"/>
          <w:szCs w:val="22"/>
          <w:rtl w:val="0"/>
        </w:rPr>
        <w:t xml:space="preserve"> = 7.24), while another 22.8% (</w:t>
      </w:r>
      <w:r w:rsidDel="00000000" w:rsidR="00000000" w:rsidRPr="00000000">
        <w:rPr>
          <w:i w:val="1"/>
          <w:sz w:val="22"/>
          <w:szCs w:val="22"/>
          <w:rtl w:val="0"/>
        </w:rPr>
        <w:t xml:space="preserve">n</w:t>
      </w:r>
      <w:r w:rsidDel="00000000" w:rsidR="00000000" w:rsidRPr="00000000">
        <w:rPr>
          <w:sz w:val="22"/>
          <w:szCs w:val="22"/>
          <w:rtl w:val="0"/>
        </w:rPr>
        <w:t xml:space="preserve"> = 34) report moderate loneliness, leaving the prevalence of low loneliness at 3.4% (</w:t>
      </w:r>
      <w:r w:rsidDel="00000000" w:rsidR="00000000" w:rsidRPr="00000000">
        <w:rPr>
          <w:i w:val="1"/>
          <w:sz w:val="22"/>
          <w:szCs w:val="22"/>
          <w:rtl w:val="0"/>
        </w:rPr>
        <w:t xml:space="preserve">n</w:t>
      </w:r>
      <w:r w:rsidDel="00000000" w:rsidR="00000000" w:rsidRPr="00000000">
        <w:rPr>
          <w:sz w:val="22"/>
          <w:szCs w:val="22"/>
          <w:rtl w:val="0"/>
        </w:rPr>
        <w:t xml:space="preserve"> = 5) only. Table 4 summarises these results.</w:t>
      </w:r>
    </w:p>
    <w:p w:rsidR="00000000" w:rsidDel="00000000" w:rsidP="00000000" w:rsidRDefault="00000000" w:rsidRPr="00000000" w14:paraId="0000029E">
      <w:pPr>
        <w:jc w:val="both"/>
        <w:rPr>
          <w:sz w:val="22"/>
          <w:szCs w:val="22"/>
        </w:rPr>
      </w:pPr>
      <w:r w:rsidDel="00000000" w:rsidR="00000000" w:rsidRPr="00000000">
        <w:rPr>
          <w:rtl w:val="0"/>
        </w:rPr>
      </w:r>
    </w:p>
    <w:p w:rsidR="00000000" w:rsidDel="00000000" w:rsidP="00000000" w:rsidRDefault="00000000" w:rsidRPr="00000000" w14:paraId="0000029F">
      <w:pPr>
        <w:rPr>
          <w:sz w:val="22"/>
          <w:szCs w:val="22"/>
        </w:rPr>
      </w:pPr>
      <w:r w:rsidDel="00000000" w:rsidR="00000000" w:rsidRPr="00000000">
        <w:rPr>
          <w:rtl w:val="0"/>
        </w:rPr>
      </w:r>
    </w:p>
    <w:p w:rsidR="00000000" w:rsidDel="00000000" w:rsidP="00000000" w:rsidRDefault="00000000" w:rsidRPr="00000000" w14:paraId="000002A0">
      <w:pPr>
        <w:rPr>
          <w:b w:val="1"/>
          <w:sz w:val="22"/>
          <w:szCs w:val="22"/>
        </w:rPr>
      </w:pPr>
      <w:r w:rsidDel="00000000" w:rsidR="00000000" w:rsidRPr="00000000">
        <w:rPr>
          <w:b w:val="1"/>
          <w:sz w:val="22"/>
          <w:szCs w:val="22"/>
          <w:rtl w:val="0"/>
        </w:rPr>
        <w:t xml:space="preserve">Table 4</w:t>
      </w:r>
    </w:p>
    <w:p w:rsidR="00000000" w:rsidDel="00000000" w:rsidP="00000000" w:rsidRDefault="00000000" w:rsidRPr="00000000" w14:paraId="000002A1">
      <w:pPr>
        <w:rPr>
          <w:b w:val="1"/>
        </w:rPr>
      </w:pPr>
      <w:r w:rsidDel="00000000" w:rsidR="00000000" w:rsidRPr="00000000">
        <w:rPr>
          <w:rtl w:val="0"/>
        </w:rPr>
      </w:r>
    </w:p>
    <w:p w:rsidR="00000000" w:rsidDel="00000000" w:rsidP="00000000" w:rsidRDefault="00000000" w:rsidRPr="00000000" w14:paraId="000002A2">
      <w:pPr>
        <w:rPr>
          <w:i w:val="1"/>
        </w:rPr>
      </w:pPr>
      <w:r w:rsidDel="00000000" w:rsidR="00000000" w:rsidRPr="00000000">
        <w:rPr>
          <w:i w:val="1"/>
          <w:rtl w:val="0"/>
        </w:rPr>
        <w:t xml:space="preserve">Categories of scores </w:t>
      </w:r>
      <w:r w:rsidDel="00000000" w:rsidR="00000000" w:rsidRPr="00000000">
        <w:rPr>
          <w:i w:val="1"/>
          <w:color w:val="000000"/>
          <w:rtl w:val="0"/>
        </w:rPr>
        <w:t xml:space="preserve">for study variables (n = 149)</w:t>
      </w: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tbl>
      <w:tblPr>
        <w:tblStyle w:val="Table4"/>
        <w:tblW w:w="84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0"/>
        <w:gridCol w:w="1275"/>
        <w:gridCol w:w="1277"/>
        <w:gridCol w:w="993"/>
        <w:gridCol w:w="875"/>
        <w:gridCol w:w="1366"/>
        <w:tblGridChange w:id="0">
          <w:tblGrid>
            <w:gridCol w:w="2690"/>
            <w:gridCol w:w="1275"/>
            <w:gridCol w:w="1277"/>
            <w:gridCol w:w="993"/>
            <w:gridCol w:w="875"/>
            <w:gridCol w:w="1366"/>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4">
            <w:pPr>
              <w:rPr>
                <w:b w:val="1"/>
                <w:i w:val="1"/>
              </w:rPr>
            </w:pPr>
            <w:r w:rsidDel="00000000" w:rsidR="00000000" w:rsidRPr="00000000">
              <w:rPr>
                <w:b w:val="1"/>
                <w:rtl w:val="0"/>
              </w:rPr>
              <w:t xml:space="preserve">Scale / Variable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5">
            <w:pPr>
              <w:jc w:val="center"/>
              <w:rPr>
                <w:b w:val="1"/>
              </w:rPr>
            </w:pPr>
            <w:r w:rsidDel="00000000" w:rsidR="00000000" w:rsidRPr="00000000">
              <w:rPr>
                <w:b w:val="1"/>
                <w:rtl w:val="0"/>
              </w:rPr>
              <w:t xml:space="preserve">Range of total possible scores</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6">
            <w:pPr>
              <w:jc w:val="center"/>
              <w:rPr>
                <w:b w:val="1"/>
              </w:rPr>
            </w:pPr>
            <w:r w:rsidDel="00000000" w:rsidR="00000000" w:rsidRPr="00000000">
              <w:rPr>
                <w:b w:val="1"/>
                <w:rtl w:val="0"/>
              </w:rPr>
              <w:t xml:space="preserve">Range of obtained scores</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7">
            <w:pPr>
              <w:jc w:val="center"/>
              <w:rPr>
                <w:b w:val="1"/>
                <w:i w:val="1"/>
              </w:rPr>
            </w:pPr>
            <w:r w:rsidDel="00000000" w:rsidR="00000000" w:rsidRPr="00000000">
              <w:rPr>
                <w:b w:val="1"/>
                <w:i w:val="1"/>
                <w:rtl w:val="0"/>
              </w:rPr>
              <w:t xml:space="preserve">M</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8">
            <w:pPr>
              <w:jc w:val="center"/>
              <w:rPr>
                <w:b w:val="1"/>
                <w:i w:val="1"/>
              </w:rPr>
            </w:pPr>
            <w:r w:rsidDel="00000000" w:rsidR="00000000" w:rsidRPr="00000000">
              <w:rPr>
                <w:b w:val="1"/>
                <w:i w:val="1"/>
                <w:rtl w:val="0"/>
              </w:rPr>
              <w:t xml:space="preserve">SD</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2A9">
            <w:pPr>
              <w:jc w:val="center"/>
              <w:rPr>
                <w:b w:val="1"/>
                <w:i w:val="1"/>
              </w:rPr>
            </w:pPr>
            <w:r w:rsidDel="00000000" w:rsidR="00000000" w:rsidRPr="00000000">
              <w:rPr>
                <w:b w:val="1"/>
                <w:i w:val="1"/>
                <w:rtl w:val="0"/>
              </w:rPr>
              <w:t xml:space="preserve">n (%)</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A">
            <w:pPr>
              <w:rPr/>
            </w:pPr>
            <w:r w:rsidDel="00000000" w:rsidR="00000000" w:rsidRPr="00000000">
              <w:rPr>
                <w:b w:val="1"/>
                <w:rtl w:val="0"/>
              </w:rPr>
              <w:t xml:space="preserve">Binge-Watching Addiction Questionnaire (Forte et al., 2021)</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B">
            <w:pPr>
              <w:jc w:val="center"/>
              <w:rPr/>
            </w:pPr>
            <w:r w:rsidDel="00000000" w:rsidR="00000000" w:rsidRPr="00000000">
              <w:rPr>
                <w:rtl w:val="0"/>
              </w:rPr>
              <w:t xml:space="preserve">0-80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C">
            <w:pPr>
              <w:jc w:val="center"/>
              <w:rPr/>
            </w:pPr>
            <w:r w:rsidDel="00000000" w:rsidR="00000000" w:rsidRPr="00000000">
              <w:rPr>
                <w:rtl w:val="0"/>
              </w:rPr>
              <w:t xml:space="preserve">8-76</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D">
            <w:pPr>
              <w:jc w:val="center"/>
              <w:rPr/>
            </w:pPr>
            <w:r w:rsidDel="00000000" w:rsidR="00000000" w:rsidRPr="00000000">
              <w:rPr>
                <w:rtl w:val="0"/>
              </w:rPr>
              <w:t xml:space="preserve">40.85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E">
            <w:pPr>
              <w:jc w:val="center"/>
              <w:rPr/>
            </w:pPr>
            <w:r w:rsidDel="00000000" w:rsidR="00000000" w:rsidRPr="00000000">
              <w:rPr>
                <w:rtl w:val="0"/>
              </w:rPr>
              <w:t xml:space="preserve">13.73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AF">
            <w:pPr>
              <w:jc w:val="center"/>
              <w:rPr/>
            </w:pPr>
            <w:r w:rsidDel="00000000" w:rsidR="00000000" w:rsidRPr="00000000">
              <w:rPr>
                <w:rtl w:val="0"/>
              </w:rPr>
              <w:t xml:space="preserve">149 (100)</w:t>
            </w:r>
          </w:p>
        </w:tc>
      </w:tr>
      <w:tr>
        <w:trPr>
          <w:cantSplit w:val="0"/>
          <w:tblHeader w:val="0"/>
        </w:trPr>
        <w:tc>
          <w:tcPr/>
          <w:p w:rsidR="00000000" w:rsidDel="00000000" w:rsidP="00000000" w:rsidRDefault="00000000" w:rsidRPr="00000000" w14:paraId="000002B0">
            <w:pPr>
              <w:rPr>
                <w:i w:val="1"/>
              </w:rPr>
            </w:pPr>
            <w:r w:rsidDel="00000000" w:rsidR="00000000" w:rsidRPr="00000000">
              <w:rPr>
                <w:rtl w:val="0"/>
              </w:rPr>
            </w:r>
          </w:p>
          <w:p w:rsidR="00000000" w:rsidDel="00000000" w:rsidP="00000000" w:rsidRDefault="00000000" w:rsidRPr="00000000" w14:paraId="000002B1">
            <w:pPr>
              <w:rPr/>
            </w:pPr>
            <w:r w:rsidDel="00000000" w:rsidR="00000000" w:rsidRPr="00000000">
              <w:rPr>
                <w:i w:val="1"/>
                <w:rtl w:val="0"/>
              </w:rPr>
              <w:t xml:space="preserve">Binge-watching</w:t>
            </w:r>
            <w:r w:rsidDel="00000000" w:rsidR="00000000" w:rsidRPr="00000000">
              <w:rPr>
                <w:rtl w:val="0"/>
              </w:rPr>
            </w:r>
          </w:p>
        </w:tc>
        <w:tc>
          <w:tcPr/>
          <w:p w:rsidR="00000000" w:rsidDel="00000000" w:rsidP="00000000" w:rsidRDefault="00000000" w:rsidRPr="00000000" w14:paraId="000002B2">
            <w:pPr>
              <w:jc w:val="center"/>
              <w:rPr/>
            </w:pPr>
            <w:r w:rsidDel="00000000" w:rsidR="00000000" w:rsidRPr="00000000">
              <w:rPr>
                <w:rtl w:val="0"/>
              </w:rPr>
            </w:r>
          </w:p>
        </w:tc>
        <w:tc>
          <w:tcPr/>
          <w:p w:rsidR="00000000" w:rsidDel="00000000" w:rsidP="00000000" w:rsidRDefault="00000000" w:rsidRPr="00000000" w14:paraId="000002B3">
            <w:pPr>
              <w:jc w:val="center"/>
              <w:rPr/>
            </w:pPr>
            <w:r w:rsidDel="00000000" w:rsidR="00000000" w:rsidRPr="00000000">
              <w:rPr>
                <w:rtl w:val="0"/>
              </w:rPr>
            </w:r>
          </w:p>
        </w:tc>
        <w:tc>
          <w:tcPr/>
          <w:p w:rsidR="00000000" w:rsidDel="00000000" w:rsidP="00000000" w:rsidRDefault="00000000" w:rsidRPr="00000000" w14:paraId="000002B4">
            <w:pPr>
              <w:jc w:val="center"/>
              <w:rPr/>
            </w:pPr>
            <w:r w:rsidDel="00000000" w:rsidR="00000000" w:rsidRPr="00000000">
              <w:rPr>
                <w:rtl w:val="0"/>
              </w:rPr>
            </w:r>
          </w:p>
        </w:tc>
        <w:tc>
          <w:tcPr/>
          <w:p w:rsidR="00000000" w:rsidDel="00000000" w:rsidP="00000000" w:rsidRDefault="00000000" w:rsidRPr="00000000" w14:paraId="000002B5">
            <w:pPr>
              <w:jc w:val="center"/>
              <w:rPr/>
            </w:pPr>
            <w:r w:rsidDel="00000000" w:rsidR="00000000" w:rsidRPr="00000000">
              <w:rPr>
                <w:rtl w:val="0"/>
              </w:rPr>
            </w:r>
          </w:p>
        </w:tc>
        <w:tc>
          <w:tcPr/>
          <w:p w:rsidR="00000000" w:rsidDel="00000000" w:rsidP="00000000" w:rsidRDefault="00000000" w:rsidRPr="00000000" w14:paraId="000002B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2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Low</w:t>
            </w:r>
          </w:p>
        </w:tc>
        <w:tc>
          <w:tcPr/>
          <w:p w:rsidR="00000000" w:rsidDel="00000000" w:rsidP="00000000" w:rsidRDefault="00000000" w:rsidRPr="00000000" w14:paraId="000002B8">
            <w:pPr>
              <w:jc w:val="center"/>
              <w:rPr/>
            </w:pPr>
            <w:r w:rsidDel="00000000" w:rsidR="00000000" w:rsidRPr="00000000">
              <w:rPr>
                <w:rtl w:val="0"/>
              </w:rPr>
              <w:t xml:space="preserve">0-26</w:t>
            </w:r>
          </w:p>
        </w:tc>
        <w:tc>
          <w:tcPr/>
          <w:p w:rsidR="00000000" w:rsidDel="00000000" w:rsidP="00000000" w:rsidRDefault="00000000" w:rsidRPr="00000000" w14:paraId="000002B9">
            <w:pPr>
              <w:jc w:val="center"/>
              <w:rPr/>
            </w:pPr>
            <w:r w:rsidDel="00000000" w:rsidR="00000000" w:rsidRPr="00000000">
              <w:rPr>
                <w:rtl w:val="0"/>
              </w:rPr>
            </w:r>
          </w:p>
        </w:tc>
        <w:tc>
          <w:tcPr/>
          <w:p w:rsidR="00000000" w:rsidDel="00000000" w:rsidP="00000000" w:rsidRDefault="00000000" w:rsidRPr="00000000" w14:paraId="000002BA">
            <w:pPr>
              <w:jc w:val="center"/>
              <w:rPr/>
            </w:pPr>
            <w:r w:rsidDel="00000000" w:rsidR="00000000" w:rsidRPr="00000000">
              <w:rPr>
                <w:rtl w:val="0"/>
              </w:rPr>
              <w:t xml:space="preserve">20.04</w:t>
            </w:r>
          </w:p>
        </w:tc>
        <w:tc>
          <w:tcPr/>
          <w:p w:rsidR="00000000" w:rsidDel="00000000" w:rsidP="00000000" w:rsidRDefault="00000000" w:rsidRPr="00000000" w14:paraId="000002BB">
            <w:pPr>
              <w:jc w:val="center"/>
              <w:rPr/>
            </w:pPr>
            <w:r w:rsidDel="00000000" w:rsidR="00000000" w:rsidRPr="00000000">
              <w:rPr>
                <w:rtl w:val="0"/>
              </w:rPr>
              <w:t xml:space="preserve">4.84</w:t>
            </w:r>
          </w:p>
        </w:tc>
        <w:tc>
          <w:tcPr/>
          <w:p w:rsidR="00000000" w:rsidDel="00000000" w:rsidP="00000000" w:rsidRDefault="00000000" w:rsidRPr="00000000" w14:paraId="000002BC">
            <w:pPr>
              <w:jc w:val="center"/>
              <w:rPr/>
            </w:pPr>
            <w:r w:rsidDel="00000000" w:rsidR="00000000" w:rsidRPr="00000000">
              <w:rPr>
                <w:color w:val="000000"/>
                <w:rtl w:val="0"/>
              </w:rPr>
              <w:t xml:space="preserve">24 (16.1)</w:t>
            </w:r>
            <w:r w:rsidDel="00000000" w:rsidR="00000000" w:rsidRPr="00000000">
              <w:rPr>
                <w:rtl w:val="0"/>
              </w:rPr>
            </w:r>
          </w:p>
        </w:tc>
      </w:tr>
      <w:tr>
        <w:trPr>
          <w:cantSplit w:val="0"/>
          <w:tblHeader w:val="0"/>
        </w:trPr>
        <w:tc>
          <w:tcPr/>
          <w:p w:rsidR="00000000" w:rsidDel="00000000" w:rsidP="00000000" w:rsidRDefault="00000000" w:rsidRPr="00000000" w14:paraId="000002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Moderate</w:t>
            </w:r>
          </w:p>
        </w:tc>
        <w:tc>
          <w:tcPr/>
          <w:p w:rsidR="00000000" w:rsidDel="00000000" w:rsidP="00000000" w:rsidRDefault="00000000" w:rsidRPr="00000000" w14:paraId="000002BE">
            <w:pPr>
              <w:jc w:val="center"/>
              <w:rPr/>
            </w:pPr>
            <w:r w:rsidDel="00000000" w:rsidR="00000000" w:rsidRPr="00000000">
              <w:rPr>
                <w:rtl w:val="0"/>
              </w:rPr>
              <w:t xml:space="preserve">27-53</w:t>
            </w:r>
          </w:p>
        </w:tc>
        <w:tc>
          <w:tcPr/>
          <w:p w:rsidR="00000000" w:rsidDel="00000000" w:rsidP="00000000" w:rsidRDefault="00000000" w:rsidRPr="00000000" w14:paraId="000002BF">
            <w:pPr>
              <w:jc w:val="center"/>
              <w:rPr/>
            </w:pPr>
            <w:r w:rsidDel="00000000" w:rsidR="00000000" w:rsidRPr="00000000">
              <w:rPr>
                <w:rtl w:val="0"/>
              </w:rPr>
            </w:r>
          </w:p>
        </w:tc>
        <w:tc>
          <w:tcPr/>
          <w:p w:rsidR="00000000" w:rsidDel="00000000" w:rsidP="00000000" w:rsidRDefault="00000000" w:rsidRPr="00000000" w14:paraId="000002C0">
            <w:pPr>
              <w:jc w:val="center"/>
              <w:rPr/>
            </w:pPr>
            <w:r w:rsidDel="00000000" w:rsidR="00000000" w:rsidRPr="00000000">
              <w:rPr>
                <w:rtl w:val="0"/>
              </w:rPr>
              <w:t xml:space="preserve">40.74</w:t>
            </w:r>
          </w:p>
        </w:tc>
        <w:tc>
          <w:tcPr/>
          <w:p w:rsidR="00000000" w:rsidDel="00000000" w:rsidP="00000000" w:rsidRDefault="00000000" w:rsidRPr="00000000" w14:paraId="000002C1">
            <w:pPr>
              <w:jc w:val="center"/>
              <w:rPr/>
            </w:pPr>
            <w:r w:rsidDel="00000000" w:rsidR="00000000" w:rsidRPr="00000000">
              <w:rPr>
                <w:rtl w:val="0"/>
              </w:rPr>
              <w:t xml:space="preserve">6.91</w:t>
            </w:r>
          </w:p>
        </w:tc>
        <w:tc>
          <w:tcPr/>
          <w:p w:rsidR="00000000" w:rsidDel="00000000" w:rsidP="00000000" w:rsidRDefault="00000000" w:rsidRPr="00000000" w14:paraId="000002C2">
            <w:pPr>
              <w:jc w:val="center"/>
              <w:rPr/>
            </w:pPr>
            <w:r w:rsidDel="00000000" w:rsidR="00000000" w:rsidRPr="00000000">
              <w:rPr>
                <w:color w:val="000000"/>
                <w:rtl w:val="0"/>
              </w:rPr>
              <w:t xml:space="preserve">99 (66.4)</w:t>
            </w:r>
            <w:r w:rsidDel="00000000" w:rsidR="00000000" w:rsidRPr="00000000">
              <w:rPr>
                <w:rtl w:val="0"/>
              </w:rPr>
            </w:r>
          </w:p>
        </w:tc>
      </w:tr>
      <w:tr>
        <w:trPr>
          <w:cantSplit w:val="0"/>
          <w:tblHeader w:val="0"/>
        </w:trPr>
        <w:tc>
          <w:tcPr/>
          <w:p w:rsidR="00000000" w:rsidDel="00000000" w:rsidP="00000000" w:rsidRDefault="00000000" w:rsidRPr="00000000" w14:paraId="000002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2C4">
            <w:pPr>
              <w:jc w:val="center"/>
              <w:rPr/>
            </w:pPr>
            <w:r w:rsidDel="00000000" w:rsidR="00000000" w:rsidRPr="00000000">
              <w:rPr>
                <w:rtl w:val="0"/>
              </w:rPr>
              <w:t xml:space="preserve">54-80</w:t>
            </w:r>
          </w:p>
        </w:tc>
        <w:tc>
          <w:tcPr/>
          <w:p w:rsidR="00000000" w:rsidDel="00000000" w:rsidP="00000000" w:rsidRDefault="00000000" w:rsidRPr="00000000" w14:paraId="000002C5">
            <w:pPr>
              <w:jc w:val="center"/>
              <w:rPr/>
            </w:pPr>
            <w:r w:rsidDel="00000000" w:rsidR="00000000" w:rsidRPr="00000000">
              <w:rPr>
                <w:rtl w:val="0"/>
              </w:rPr>
            </w:r>
          </w:p>
        </w:tc>
        <w:tc>
          <w:tcPr/>
          <w:p w:rsidR="00000000" w:rsidDel="00000000" w:rsidP="00000000" w:rsidRDefault="00000000" w:rsidRPr="00000000" w14:paraId="000002C6">
            <w:pPr>
              <w:jc w:val="center"/>
              <w:rPr/>
            </w:pPr>
            <w:r w:rsidDel="00000000" w:rsidR="00000000" w:rsidRPr="00000000">
              <w:rPr>
                <w:rtl w:val="0"/>
              </w:rPr>
              <w:t xml:space="preserve">60.46</w:t>
            </w:r>
          </w:p>
        </w:tc>
        <w:tc>
          <w:tcPr/>
          <w:p w:rsidR="00000000" w:rsidDel="00000000" w:rsidP="00000000" w:rsidRDefault="00000000" w:rsidRPr="00000000" w14:paraId="000002C7">
            <w:pPr>
              <w:jc w:val="center"/>
              <w:rPr/>
            </w:pPr>
            <w:r w:rsidDel="00000000" w:rsidR="00000000" w:rsidRPr="00000000">
              <w:rPr>
                <w:rtl w:val="0"/>
              </w:rPr>
              <w:t xml:space="preserve">5.87</w:t>
            </w:r>
          </w:p>
        </w:tc>
        <w:tc>
          <w:tcPr/>
          <w:p w:rsidR="00000000" w:rsidDel="00000000" w:rsidP="00000000" w:rsidRDefault="00000000" w:rsidRPr="00000000" w14:paraId="000002C8">
            <w:pPr>
              <w:jc w:val="center"/>
              <w:rPr>
                <w:color w:val="000000"/>
              </w:rPr>
            </w:pPr>
            <w:r w:rsidDel="00000000" w:rsidR="00000000" w:rsidRPr="00000000">
              <w:rPr>
                <w:color w:val="000000"/>
                <w:rtl w:val="0"/>
              </w:rPr>
              <w:t xml:space="preserve">26 (17.4)</w:t>
            </w:r>
          </w:p>
          <w:p w:rsidR="00000000" w:rsidDel="00000000" w:rsidP="00000000" w:rsidRDefault="00000000" w:rsidRPr="00000000" w14:paraId="000002C9">
            <w:pPr>
              <w:jc w:val="cente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CA">
            <w:pPr>
              <w:rPr/>
            </w:pPr>
            <w:r w:rsidDel="00000000" w:rsidR="00000000" w:rsidRPr="00000000">
              <w:rPr>
                <w:b w:val="1"/>
                <w:rtl w:val="0"/>
              </w:rPr>
              <w:t xml:space="preserve">Perceived Stress Scale (Cohen et al., 1994)</w:t>
            </w:r>
            <w:r w:rsidDel="00000000" w:rsidR="00000000" w:rsidRPr="00000000">
              <w:rPr>
                <w:rtl w:val="0"/>
              </w:rPr>
            </w:r>
          </w:p>
        </w:tc>
        <w:tc>
          <w:tcPr>
            <w:shd w:fill="d9d9d9" w:val="clear"/>
          </w:tcPr>
          <w:p w:rsidR="00000000" w:rsidDel="00000000" w:rsidP="00000000" w:rsidRDefault="00000000" w:rsidRPr="00000000" w14:paraId="000002CB">
            <w:pPr>
              <w:jc w:val="center"/>
              <w:rPr/>
            </w:pPr>
            <w:r w:rsidDel="00000000" w:rsidR="00000000" w:rsidRPr="00000000">
              <w:rPr>
                <w:rtl w:val="0"/>
              </w:rPr>
              <w:t xml:space="preserve">0-40</w:t>
            </w:r>
          </w:p>
        </w:tc>
        <w:tc>
          <w:tcPr>
            <w:shd w:fill="d9d9d9" w:val="clear"/>
          </w:tcPr>
          <w:p w:rsidR="00000000" w:rsidDel="00000000" w:rsidP="00000000" w:rsidRDefault="00000000" w:rsidRPr="00000000" w14:paraId="000002CC">
            <w:pPr>
              <w:jc w:val="center"/>
              <w:rPr/>
            </w:pPr>
            <w:r w:rsidDel="00000000" w:rsidR="00000000" w:rsidRPr="00000000">
              <w:rPr>
                <w:rtl w:val="0"/>
              </w:rPr>
              <w:t xml:space="preserve">0-40</w:t>
            </w:r>
          </w:p>
        </w:tc>
        <w:tc>
          <w:tcPr>
            <w:shd w:fill="d9d9d9" w:val="clear"/>
          </w:tcPr>
          <w:p w:rsidR="00000000" w:rsidDel="00000000" w:rsidP="00000000" w:rsidRDefault="00000000" w:rsidRPr="00000000" w14:paraId="000002CD">
            <w:pPr>
              <w:jc w:val="center"/>
              <w:rPr/>
            </w:pPr>
            <w:r w:rsidDel="00000000" w:rsidR="00000000" w:rsidRPr="00000000">
              <w:rPr>
                <w:color w:val="000000"/>
                <w:rtl w:val="0"/>
              </w:rPr>
              <w:t xml:space="preserve">21.45</w:t>
            </w:r>
            <w:r w:rsidDel="00000000" w:rsidR="00000000" w:rsidRPr="00000000">
              <w:rPr>
                <w:rtl w:val="0"/>
              </w:rPr>
            </w:r>
          </w:p>
        </w:tc>
        <w:tc>
          <w:tcPr>
            <w:shd w:fill="d9d9d9" w:val="clear"/>
          </w:tcPr>
          <w:p w:rsidR="00000000" w:rsidDel="00000000" w:rsidP="00000000" w:rsidRDefault="00000000" w:rsidRPr="00000000" w14:paraId="000002CE">
            <w:pPr>
              <w:jc w:val="center"/>
              <w:rPr/>
            </w:pPr>
            <w:r w:rsidDel="00000000" w:rsidR="00000000" w:rsidRPr="00000000">
              <w:rPr>
                <w:color w:val="000000"/>
                <w:rtl w:val="0"/>
              </w:rPr>
              <w:t xml:space="preserve">5.88</w:t>
            </w:r>
            <w:r w:rsidDel="00000000" w:rsidR="00000000" w:rsidRPr="00000000">
              <w:rPr>
                <w:rtl w:val="0"/>
              </w:rPr>
            </w:r>
          </w:p>
        </w:tc>
        <w:tc>
          <w:tcPr>
            <w:shd w:fill="d9d9d9" w:val="clear"/>
          </w:tcPr>
          <w:p w:rsidR="00000000" w:rsidDel="00000000" w:rsidP="00000000" w:rsidRDefault="00000000" w:rsidRPr="00000000" w14:paraId="000002CF">
            <w:pPr>
              <w:jc w:val="center"/>
              <w:rPr/>
            </w:pPr>
            <w:r w:rsidDel="00000000" w:rsidR="00000000" w:rsidRPr="00000000">
              <w:rPr>
                <w:rtl w:val="0"/>
              </w:rPr>
              <w:t xml:space="preserve">149 (100)</w:t>
            </w:r>
          </w:p>
        </w:tc>
      </w:tr>
      <w:tr>
        <w:trPr>
          <w:cantSplit w:val="0"/>
          <w:tblHeader w:val="0"/>
        </w:trPr>
        <w:tc>
          <w:tcPr/>
          <w:p w:rsidR="00000000" w:rsidDel="00000000" w:rsidP="00000000" w:rsidRDefault="00000000" w:rsidRPr="00000000" w14:paraId="000002D0">
            <w:pPr>
              <w:rPr>
                <w:i w:val="1"/>
              </w:rPr>
            </w:pPr>
            <w:r w:rsidDel="00000000" w:rsidR="00000000" w:rsidRPr="00000000">
              <w:rPr>
                <w:i w:val="1"/>
                <w:rtl w:val="0"/>
              </w:rPr>
              <w:t xml:space="preserve">Perceived stress</w:t>
            </w:r>
          </w:p>
        </w:tc>
        <w:tc>
          <w:tcPr/>
          <w:p w:rsidR="00000000" w:rsidDel="00000000" w:rsidP="00000000" w:rsidRDefault="00000000" w:rsidRPr="00000000" w14:paraId="000002D1">
            <w:pPr>
              <w:jc w:val="center"/>
              <w:rPr/>
            </w:pPr>
            <w:r w:rsidDel="00000000" w:rsidR="00000000" w:rsidRPr="00000000">
              <w:rPr>
                <w:rtl w:val="0"/>
              </w:rPr>
            </w:r>
          </w:p>
        </w:tc>
        <w:tc>
          <w:tcPr/>
          <w:p w:rsidR="00000000" w:rsidDel="00000000" w:rsidP="00000000" w:rsidRDefault="00000000" w:rsidRPr="00000000" w14:paraId="000002D2">
            <w:pPr>
              <w:jc w:val="center"/>
              <w:rPr/>
            </w:pPr>
            <w:r w:rsidDel="00000000" w:rsidR="00000000" w:rsidRPr="00000000">
              <w:rPr>
                <w:rtl w:val="0"/>
              </w:rPr>
            </w:r>
          </w:p>
        </w:tc>
        <w:tc>
          <w:tcPr/>
          <w:p w:rsidR="00000000" w:rsidDel="00000000" w:rsidP="00000000" w:rsidRDefault="00000000" w:rsidRPr="00000000" w14:paraId="000002D3">
            <w:pPr>
              <w:jc w:val="center"/>
              <w:rPr/>
            </w:pPr>
            <w:r w:rsidDel="00000000" w:rsidR="00000000" w:rsidRPr="00000000">
              <w:rPr>
                <w:rtl w:val="0"/>
              </w:rPr>
            </w:r>
          </w:p>
        </w:tc>
        <w:tc>
          <w:tcPr/>
          <w:p w:rsidR="00000000" w:rsidDel="00000000" w:rsidP="00000000" w:rsidRDefault="00000000" w:rsidRPr="00000000" w14:paraId="000002D4">
            <w:pPr>
              <w:jc w:val="center"/>
              <w:rPr/>
            </w:pPr>
            <w:r w:rsidDel="00000000" w:rsidR="00000000" w:rsidRPr="00000000">
              <w:rPr>
                <w:rtl w:val="0"/>
              </w:rPr>
            </w:r>
          </w:p>
        </w:tc>
        <w:tc>
          <w:tcPr/>
          <w:p w:rsidR="00000000" w:rsidDel="00000000" w:rsidP="00000000" w:rsidRDefault="00000000" w:rsidRPr="00000000" w14:paraId="000002D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2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Low</w:t>
            </w:r>
          </w:p>
        </w:tc>
        <w:tc>
          <w:tcPr/>
          <w:p w:rsidR="00000000" w:rsidDel="00000000" w:rsidP="00000000" w:rsidRDefault="00000000" w:rsidRPr="00000000" w14:paraId="000002D7">
            <w:pPr>
              <w:jc w:val="center"/>
              <w:rPr/>
            </w:pPr>
            <w:r w:rsidDel="00000000" w:rsidR="00000000" w:rsidRPr="00000000">
              <w:rPr>
                <w:rtl w:val="0"/>
              </w:rPr>
              <w:t xml:space="preserve">0-13</w:t>
            </w:r>
          </w:p>
        </w:tc>
        <w:tc>
          <w:tcPr/>
          <w:p w:rsidR="00000000" w:rsidDel="00000000" w:rsidP="00000000" w:rsidRDefault="00000000" w:rsidRPr="00000000" w14:paraId="000002D8">
            <w:pPr>
              <w:jc w:val="center"/>
              <w:rPr/>
            </w:pPr>
            <w:r w:rsidDel="00000000" w:rsidR="00000000" w:rsidRPr="00000000">
              <w:rPr>
                <w:rtl w:val="0"/>
              </w:rPr>
            </w:r>
          </w:p>
        </w:tc>
        <w:tc>
          <w:tcPr/>
          <w:p w:rsidR="00000000" w:rsidDel="00000000" w:rsidP="00000000" w:rsidRDefault="00000000" w:rsidRPr="00000000" w14:paraId="000002D9">
            <w:pPr>
              <w:jc w:val="center"/>
              <w:rPr/>
            </w:pPr>
            <w:r w:rsidDel="00000000" w:rsidR="00000000" w:rsidRPr="00000000">
              <w:rPr>
                <w:color w:val="000000"/>
                <w:rtl w:val="0"/>
              </w:rPr>
              <w:t xml:space="preserve">10.11</w:t>
            </w:r>
            <w:r w:rsidDel="00000000" w:rsidR="00000000" w:rsidRPr="00000000">
              <w:rPr>
                <w:rtl w:val="0"/>
              </w:rPr>
            </w:r>
          </w:p>
        </w:tc>
        <w:tc>
          <w:tcPr/>
          <w:p w:rsidR="00000000" w:rsidDel="00000000" w:rsidP="00000000" w:rsidRDefault="00000000" w:rsidRPr="00000000" w14:paraId="000002DA">
            <w:pPr>
              <w:jc w:val="center"/>
              <w:rPr/>
            </w:pPr>
            <w:r w:rsidDel="00000000" w:rsidR="00000000" w:rsidRPr="00000000">
              <w:rPr>
                <w:color w:val="000000"/>
                <w:rtl w:val="0"/>
              </w:rPr>
              <w:t xml:space="preserve">4.01</w:t>
            </w:r>
            <w:r w:rsidDel="00000000" w:rsidR="00000000" w:rsidRPr="00000000">
              <w:rPr>
                <w:rtl w:val="0"/>
              </w:rPr>
            </w:r>
          </w:p>
        </w:tc>
        <w:tc>
          <w:tcPr/>
          <w:p w:rsidR="00000000" w:rsidDel="00000000" w:rsidP="00000000" w:rsidRDefault="00000000" w:rsidRPr="00000000" w14:paraId="000002DB">
            <w:pPr>
              <w:jc w:val="center"/>
              <w:rPr/>
            </w:pPr>
            <w:r w:rsidDel="00000000" w:rsidR="00000000" w:rsidRPr="00000000">
              <w:rPr>
                <w:color w:val="000000"/>
                <w:rtl w:val="0"/>
              </w:rPr>
              <w:t xml:space="preserve">9 (6.0)</w:t>
            </w:r>
            <w:r w:rsidDel="00000000" w:rsidR="00000000" w:rsidRPr="00000000">
              <w:rPr>
                <w:rtl w:val="0"/>
              </w:rPr>
            </w:r>
          </w:p>
        </w:tc>
      </w:tr>
      <w:tr>
        <w:trPr>
          <w:cantSplit w:val="0"/>
          <w:tblHeader w:val="0"/>
        </w:trPr>
        <w:tc>
          <w:tcPr/>
          <w:p w:rsidR="00000000" w:rsidDel="00000000" w:rsidP="00000000" w:rsidRDefault="00000000" w:rsidRPr="00000000" w14:paraId="000002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Moderate</w:t>
            </w:r>
          </w:p>
        </w:tc>
        <w:tc>
          <w:tcPr/>
          <w:p w:rsidR="00000000" w:rsidDel="00000000" w:rsidP="00000000" w:rsidRDefault="00000000" w:rsidRPr="00000000" w14:paraId="000002DD">
            <w:pPr>
              <w:jc w:val="center"/>
              <w:rPr/>
            </w:pPr>
            <w:r w:rsidDel="00000000" w:rsidR="00000000" w:rsidRPr="00000000">
              <w:rPr>
                <w:rtl w:val="0"/>
              </w:rPr>
              <w:t xml:space="preserve">14-26</w:t>
            </w:r>
          </w:p>
        </w:tc>
        <w:tc>
          <w:tcPr/>
          <w:p w:rsidR="00000000" w:rsidDel="00000000" w:rsidP="00000000" w:rsidRDefault="00000000" w:rsidRPr="00000000" w14:paraId="000002DE">
            <w:pPr>
              <w:jc w:val="center"/>
              <w:rPr/>
            </w:pPr>
            <w:r w:rsidDel="00000000" w:rsidR="00000000" w:rsidRPr="00000000">
              <w:rPr>
                <w:rtl w:val="0"/>
              </w:rPr>
            </w:r>
          </w:p>
        </w:tc>
        <w:tc>
          <w:tcPr/>
          <w:p w:rsidR="00000000" w:rsidDel="00000000" w:rsidP="00000000" w:rsidRDefault="00000000" w:rsidRPr="00000000" w14:paraId="000002DF">
            <w:pPr>
              <w:jc w:val="center"/>
              <w:rPr/>
            </w:pPr>
            <w:r w:rsidDel="00000000" w:rsidR="00000000" w:rsidRPr="00000000">
              <w:rPr>
                <w:color w:val="000000"/>
                <w:rtl w:val="0"/>
              </w:rPr>
              <w:t xml:space="preserve">20.49</w:t>
            </w:r>
            <w:r w:rsidDel="00000000" w:rsidR="00000000" w:rsidRPr="00000000">
              <w:rPr>
                <w:rtl w:val="0"/>
              </w:rPr>
            </w:r>
          </w:p>
        </w:tc>
        <w:tc>
          <w:tcPr/>
          <w:p w:rsidR="00000000" w:rsidDel="00000000" w:rsidP="00000000" w:rsidRDefault="00000000" w:rsidRPr="00000000" w14:paraId="000002E0">
            <w:pPr>
              <w:jc w:val="center"/>
              <w:rPr/>
            </w:pPr>
            <w:r w:rsidDel="00000000" w:rsidR="00000000" w:rsidRPr="00000000">
              <w:rPr>
                <w:color w:val="000000"/>
                <w:rtl w:val="0"/>
              </w:rPr>
              <w:t xml:space="preserve">3.21</w:t>
            </w:r>
            <w:r w:rsidDel="00000000" w:rsidR="00000000" w:rsidRPr="00000000">
              <w:rPr>
                <w:rtl w:val="0"/>
              </w:rPr>
            </w:r>
          </w:p>
        </w:tc>
        <w:tc>
          <w:tcPr/>
          <w:p w:rsidR="00000000" w:rsidDel="00000000" w:rsidP="00000000" w:rsidRDefault="00000000" w:rsidRPr="00000000" w14:paraId="000002E1">
            <w:pPr>
              <w:jc w:val="center"/>
              <w:rPr/>
            </w:pPr>
            <w:r w:rsidDel="00000000" w:rsidR="00000000" w:rsidRPr="00000000">
              <w:rPr>
                <w:color w:val="000000"/>
                <w:rtl w:val="0"/>
              </w:rPr>
              <w:t xml:space="preserve">119 (79.9)</w:t>
            </w:r>
            <w:r w:rsidDel="00000000" w:rsidR="00000000" w:rsidRPr="00000000">
              <w:rPr>
                <w:rtl w:val="0"/>
              </w:rPr>
            </w:r>
          </w:p>
        </w:tc>
      </w:tr>
      <w:tr>
        <w:trPr>
          <w:cantSplit w:val="0"/>
          <w:tblHeader w:val="0"/>
        </w:trPr>
        <w:tc>
          <w:tcPr/>
          <w:p w:rsidR="00000000" w:rsidDel="00000000" w:rsidP="00000000" w:rsidRDefault="00000000" w:rsidRPr="00000000" w14:paraId="000002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2E3">
            <w:pPr>
              <w:jc w:val="center"/>
              <w:rPr/>
            </w:pPr>
            <w:r w:rsidDel="00000000" w:rsidR="00000000" w:rsidRPr="00000000">
              <w:rPr>
                <w:rtl w:val="0"/>
              </w:rPr>
              <w:t xml:space="preserve">27-40</w:t>
            </w:r>
          </w:p>
        </w:tc>
        <w:tc>
          <w:tcPr/>
          <w:p w:rsidR="00000000" w:rsidDel="00000000" w:rsidP="00000000" w:rsidRDefault="00000000" w:rsidRPr="00000000" w14:paraId="000002E4">
            <w:pPr>
              <w:jc w:val="center"/>
              <w:rPr/>
            </w:pPr>
            <w:r w:rsidDel="00000000" w:rsidR="00000000" w:rsidRPr="00000000">
              <w:rPr>
                <w:rtl w:val="0"/>
              </w:rPr>
            </w:r>
          </w:p>
        </w:tc>
        <w:tc>
          <w:tcPr/>
          <w:p w:rsidR="00000000" w:rsidDel="00000000" w:rsidP="00000000" w:rsidRDefault="00000000" w:rsidRPr="00000000" w14:paraId="000002E5">
            <w:pPr>
              <w:jc w:val="center"/>
              <w:rPr/>
            </w:pPr>
            <w:r w:rsidDel="00000000" w:rsidR="00000000" w:rsidRPr="00000000">
              <w:rPr>
                <w:color w:val="000000"/>
                <w:rtl w:val="0"/>
              </w:rPr>
              <w:t xml:space="preserve">31.76</w:t>
            </w:r>
            <w:r w:rsidDel="00000000" w:rsidR="00000000" w:rsidRPr="00000000">
              <w:rPr>
                <w:rtl w:val="0"/>
              </w:rPr>
            </w:r>
          </w:p>
        </w:tc>
        <w:tc>
          <w:tcPr/>
          <w:p w:rsidR="00000000" w:rsidDel="00000000" w:rsidP="00000000" w:rsidRDefault="00000000" w:rsidRPr="00000000" w14:paraId="000002E6">
            <w:pPr>
              <w:jc w:val="center"/>
              <w:rPr/>
            </w:pPr>
            <w:r w:rsidDel="00000000" w:rsidR="00000000" w:rsidRPr="00000000">
              <w:rPr>
                <w:color w:val="000000"/>
                <w:rtl w:val="0"/>
              </w:rPr>
              <w:t xml:space="preserve">3.74</w:t>
            </w:r>
            <w:r w:rsidDel="00000000" w:rsidR="00000000" w:rsidRPr="00000000">
              <w:rPr>
                <w:rtl w:val="0"/>
              </w:rPr>
            </w:r>
          </w:p>
        </w:tc>
        <w:tc>
          <w:tcPr/>
          <w:p w:rsidR="00000000" w:rsidDel="00000000" w:rsidP="00000000" w:rsidRDefault="00000000" w:rsidRPr="00000000" w14:paraId="000002E7">
            <w:pPr>
              <w:jc w:val="center"/>
              <w:rPr>
                <w:color w:val="000000"/>
              </w:rPr>
            </w:pPr>
            <w:r w:rsidDel="00000000" w:rsidR="00000000" w:rsidRPr="00000000">
              <w:rPr>
                <w:color w:val="000000"/>
                <w:rtl w:val="0"/>
              </w:rPr>
              <w:t xml:space="preserve">21 (14.1)</w:t>
            </w:r>
          </w:p>
          <w:p w:rsidR="00000000" w:rsidDel="00000000" w:rsidP="00000000" w:rsidRDefault="00000000" w:rsidRPr="00000000" w14:paraId="000002E8">
            <w:pPr>
              <w:jc w:val="cente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E9">
            <w:pPr>
              <w:rPr/>
            </w:pPr>
            <w:r w:rsidDel="00000000" w:rsidR="00000000" w:rsidRPr="00000000">
              <w:rPr>
                <w:b w:val="1"/>
                <w:rtl w:val="0"/>
              </w:rPr>
              <w:t xml:space="preserve">Social Interaction Anxiety Scale (Mattick &amp; Clarke, 1998)</w:t>
            </w:r>
            <w:r w:rsidDel="00000000" w:rsidR="00000000" w:rsidRPr="00000000">
              <w:rPr>
                <w:rtl w:val="0"/>
              </w:rPr>
            </w:r>
          </w:p>
        </w:tc>
        <w:tc>
          <w:tcPr>
            <w:shd w:fill="d9d9d9" w:val="clear"/>
          </w:tcPr>
          <w:p w:rsidR="00000000" w:rsidDel="00000000" w:rsidP="00000000" w:rsidRDefault="00000000" w:rsidRPr="00000000" w14:paraId="000002EA">
            <w:pPr>
              <w:jc w:val="center"/>
              <w:rPr/>
            </w:pPr>
            <w:r w:rsidDel="00000000" w:rsidR="00000000" w:rsidRPr="00000000">
              <w:rPr>
                <w:rtl w:val="0"/>
              </w:rPr>
              <w:t xml:space="preserve">0-76</w:t>
            </w:r>
          </w:p>
        </w:tc>
        <w:tc>
          <w:tcPr>
            <w:shd w:fill="d9d9d9" w:val="clear"/>
          </w:tcPr>
          <w:p w:rsidR="00000000" w:rsidDel="00000000" w:rsidP="00000000" w:rsidRDefault="00000000" w:rsidRPr="00000000" w14:paraId="000002EB">
            <w:pPr>
              <w:jc w:val="center"/>
              <w:rPr/>
            </w:pPr>
            <w:r w:rsidDel="00000000" w:rsidR="00000000" w:rsidRPr="00000000">
              <w:rPr>
                <w:rtl w:val="0"/>
              </w:rPr>
              <w:t xml:space="preserve">0-70</w:t>
            </w:r>
          </w:p>
        </w:tc>
        <w:tc>
          <w:tcPr>
            <w:shd w:fill="d9d9d9" w:val="clear"/>
          </w:tcPr>
          <w:p w:rsidR="00000000" w:rsidDel="00000000" w:rsidP="00000000" w:rsidRDefault="00000000" w:rsidRPr="00000000" w14:paraId="000002EC">
            <w:pPr>
              <w:jc w:val="center"/>
              <w:rPr/>
            </w:pPr>
            <w:r w:rsidDel="00000000" w:rsidR="00000000" w:rsidRPr="00000000">
              <w:rPr>
                <w:color w:val="000000"/>
                <w:rtl w:val="0"/>
              </w:rPr>
              <w:t xml:space="preserve">39.02</w:t>
            </w:r>
            <w:r w:rsidDel="00000000" w:rsidR="00000000" w:rsidRPr="00000000">
              <w:rPr>
                <w:rtl w:val="0"/>
              </w:rPr>
            </w:r>
          </w:p>
        </w:tc>
        <w:tc>
          <w:tcPr>
            <w:shd w:fill="d9d9d9" w:val="clear"/>
          </w:tcPr>
          <w:p w:rsidR="00000000" w:rsidDel="00000000" w:rsidP="00000000" w:rsidRDefault="00000000" w:rsidRPr="00000000" w14:paraId="000002ED">
            <w:pPr>
              <w:jc w:val="center"/>
              <w:rPr/>
            </w:pPr>
            <w:r w:rsidDel="00000000" w:rsidR="00000000" w:rsidRPr="00000000">
              <w:rPr>
                <w:color w:val="000000"/>
                <w:rtl w:val="0"/>
              </w:rPr>
              <w:t xml:space="preserve">15.09</w:t>
            </w:r>
            <w:r w:rsidDel="00000000" w:rsidR="00000000" w:rsidRPr="00000000">
              <w:rPr>
                <w:rtl w:val="0"/>
              </w:rPr>
            </w:r>
          </w:p>
        </w:tc>
        <w:tc>
          <w:tcPr>
            <w:shd w:fill="d9d9d9" w:val="clear"/>
          </w:tcPr>
          <w:p w:rsidR="00000000" w:rsidDel="00000000" w:rsidP="00000000" w:rsidRDefault="00000000" w:rsidRPr="00000000" w14:paraId="000002EE">
            <w:pPr>
              <w:jc w:val="center"/>
              <w:rPr/>
            </w:pPr>
            <w:r w:rsidDel="00000000" w:rsidR="00000000" w:rsidRPr="00000000">
              <w:rPr>
                <w:rtl w:val="0"/>
              </w:rPr>
              <w:t xml:space="preserve">149 (100)</w:t>
            </w:r>
          </w:p>
        </w:tc>
      </w:tr>
      <w:tr>
        <w:trPr>
          <w:cantSplit w:val="0"/>
          <w:tblHeader w:val="0"/>
        </w:trPr>
        <w:tc>
          <w:tcPr/>
          <w:p w:rsidR="00000000" w:rsidDel="00000000" w:rsidP="00000000" w:rsidRDefault="00000000" w:rsidRPr="00000000" w14:paraId="000002EF">
            <w:pPr>
              <w:rPr>
                <w:i w:val="1"/>
              </w:rPr>
            </w:pPr>
            <w:r w:rsidDel="00000000" w:rsidR="00000000" w:rsidRPr="00000000">
              <w:rPr>
                <w:i w:val="1"/>
                <w:rtl w:val="0"/>
              </w:rPr>
              <w:t xml:space="preserve">Social interaction anxiety</w:t>
            </w:r>
          </w:p>
        </w:tc>
        <w:tc>
          <w:tcPr/>
          <w:p w:rsidR="00000000" w:rsidDel="00000000" w:rsidP="00000000" w:rsidRDefault="00000000" w:rsidRPr="00000000" w14:paraId="000002F0">
            <w:pPr>
              <w:jc w:val="center"/>
              <w:rPr/>
            </w:pPr>
            <w:r w:rsidDel="00000000" w:rsidR="00000000" w:rsidRPr="00000000">
              <w:rPr>
                <w:rtl w:val="0"/>
              </w:rPr>
            </w:r>
          </w:p>
        </w:tc>
        <w:tc>
          <w:tcPr/>
          <w:p w:rsidR="00000000" w:rsidDel="00000000" w:rsidP="00000000" w:rsidRDefault="00000000" w:rsidRPr="00000000" w14:paraId="000002F1">
            <w:pPr>
              <w:jc w:val="center"/>
              <w:rPr/>
            </w:pPr>
            <w:r w:rsidDel="00000000" w:rsidR="00000000" w:rsidRPr="00000000">
              <w:rPr>
                <w:rtl w:val="0"/>
              </w:rPr>
            </w:r>
          </w:p>
        </w:tc>
        <w:tc>
          <w:tcPr/>
          <w:p w:rsidR="00000000" w:rsidDel="00000000" w:rsidP="00000000" w:rsidRDefault="00000000" w:rsidRPr="00000000" w14:paraId="000002F2">
            <w:pPr>
              <w:jc w:val="center"/>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2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No social interaction anxiety</w:t>
            </w:r>
          </w:p>
        </w:tc>
        <w:tc>
          <w:tcPr/>
          <w:p w:rsidR="00000000" w:rsidDel="00000000" w:rsidP="00000000" w:rsidRDefault="00000000" w:rsidRPr="00000000" w14:paraId="000002F6">
            <w:pPr>
              <w:jc w:val="center"/>
              <w:rPr/>
            </w:pPr>
            <w:r w:rsidDel="00000000" w:rsidR="00000000" w:rsidRPr="00000000">
              <w:rPr>
                <w:rtl w:val="0"/>
              </w:rPr>
            </w:r>
          </w:p>
        </w:tc>
        <w:tc>
          <w:tcPr/>
          <w:p w:rsidR="00000000" w:rsidDel="00000000" w:rsidP="00000000" w:rsidRDefault="00000000" w:rsidRPr="00000000" w14:paraId="000002F7">
            <w:pPr>
              <w:jc w:val="center"/>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color w:val="000000"/>
                <w:rtl w:val="0"/>
              </w:rPr>
              <w:t xml:space="preserve">24.07</w:t>
            </w:r>
            <w:r w:rsidDel="00000000" w:rsidR="00000000" w:rsidRPr="00000000">
              <w:rPr>
                <w:rtl w:val="0"/>
              </w:rPr>
            </w:r>
          </w:p>
        </w:tc>
        <w:tc>
          <w:tcPr/>
          <w:p w:rsidR="00000000" w:rsidDel="00000000" w:rsidP="00000000" w:rsidRDefault="00000000" w:rsidRPr="00000000" w14:paraId="000002F9">
            <w:pPr>
              <w:jc w:val="center"/>
              <w:rPr/>
            </w:pPr>
            <w:r w:rsidDel="00000000" w:rsidR="00000000" w:rsidRPr="00000000">
              <w:rPr>
                <w:color w:val="000000"/>
                <w:rtl w:val="0"/>
              </w:rPr>
              <w:t xml:space="preserve">8.64</w:t>
            </w:r>
            <w:r w:rsidDel="00000000" w:rsidR="00000000" w:rsidRPr="00000000">
              <w:rPr>
                <w:rtl w:val="0"/>
              </w:rPr>
            </w:r>
          </w:p>
        </w:tc>
        <w:tc>
          <w:tcPr/>
          <w:p w:rsidR="00000000" w:rsidDel="00000000" w:rsidP="00000000" w:rsidRDefault="00000000" w:rsidRPr="00000000" w14:paraId="000002FA">
            <w:pPr>
              <w:jc w:val="center"/>
              <w:rPr/>
            </w:pPr>
            <w:r w:rsidDel="00000000" w:rsidR="00000000" w:rsidRPr="00000000">
              <w:rPr>
                <w:color w:val="000000"/>
                <w:rtl w:val="0"/>
              </w:rPr>
              <w:t xml:space="preserve">59 (39.6)</w:t>
            </w:r>
            <w:r w:rsidDel="00000000" w:rsidR="00000000" w:rsidRPr="00000000">
              <w:rPr>
                <w:rtl w:val="0"/>
              </w:rPr>
            </w:r>
          </w:p>
        </w:tc>
      </w:tr>
      <w:tr>
        <w:trPr>
          <w:cantSplit w:val="0"/>
          <w:tblHeader w:val="0"/>
        </w:trPr>
        <w:tc>
          <w:tcPr/>
          <w:p w:rsidR="00000000" w:rsidDel="00000000" w:rsidP="00000000" w:rsidRDefault="00000000" w:rsidRPr="00000000" w14:paraId="000002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34 - 46</w:t>
            </w:r>
          </w:p>
        </w:tc>
        <w:tc>
          <w:tcPr>
            <w:vMerge w:val="restart"/>
          </w:tcPr>
          <w:p w:rsidR="00000000" w:rsidDel="00000000" w:rsidP="00000000" w:rsidRDefault="00000000" w:rsidRPr="00000000" w14:paraId="000002FC">
            <w:pPr>
              <w:jc w:val="center"/>
              <w:rPr/>
            </w:pPr>
            <w:r w:rsidDel="00000000" w:rsidR="00000000" w:rsidRPr="00000000">
              <w:rPr>
                <w:rtl w:val="0"/>
              </w:rPr>
              <w:t xml:space="preserve">cut-off score of 34</w:t>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pPr>
            <w:r w:rsidDel="00000000" w:rsidR="00000000" w:rsidRPr="00000000">
              <w:rPr>
                <w:color w:val="000000"/>
                <w:rtl w:val="0"/>
              </w:rPr>
              <w:t xml:space="preserve">40.23</w:t>
            </w:r>
            <w:r w:rsidDel="00000000" w:rsidR="00000000" w:rsidRPr="00000000">
              <w:rPr>
                <w:rtl w:val="0"/>
              </w:rPr>
            </w:r>
          </w:p>
        </w:tc>
        <w:tc>
          <w:tcPr/>
          <w:p w:rsidR="00000000" w:rsidDel="00000000" w:rsidP="00000000" w:rsidRDefault="00000000" w:rsidRPr="00000000" w14:paraId="000002FF">
            <w:pPr>
              <w:jc w:val="center"/>
              <w:rPr/>
            </w:pPr>
            <w:r w:rsidDel="00000000" w:rsidR="00000000" w:rsidRPr="00000000">
              <w:rPr>
                <w:color w:val="000000"/>
                <w:rtl w:val="0"/>
              </w:rPr>
              <w:t xml:space="preserve">3.26</w:t>
            </w:r>
            <w:r w:rsidDel="00000000" w:rsidR="00000000" w:rsidRPr="00000000">
              <w:rPr>
                <w:rtl w:val="0"/>
              </w:rPr>
            </w:r>
          </w:p>
        </w:tc>
        <w:tc>
          <w:tcPr/>
          <w:p w:rsidR="00000000" w:rsidDel="00000000" w:rsidP="00000000" w:rsidRDefault="00000000" w:rsidRPr="00000000" w14:paraId="00000300">
            <w:pPr>
              <w:jc w:val="center"/>
              <w:rPr/>
            </w:pPr>
            <w:r w:rsidDel="00000000" w:rsidR="00000000" w:rsidRPr="00000000">
              <w:rPr>
                <w:color w:val="000000"/>
                <w:rtl w:val="0"/>
              </w:rPr>
              <w:t xml:space="preserve">39 (26.2)</w:t>
            </w:r>
            <w:r w:rsidDel="00000000" w:rsidR="00000000" w:rsidRPr="00000000">
              <w:rPr>
                <w:rtl w:val="0"/>
              </w:rPr>
            </w:r>
          </w:p>
        </w:tc>
      </w:tr>
      <w:tr>
        <w:trPr>
          <w:cantSplit w:val="0"/>
          <w:tblHeader w:val="0"/>
        </w:trPr>
        <w:tc>
          <w:tcPr/>
          <w:p w:rsidR="00000000" w:rsidDel="00000000" w:rsidP="00000000" w:rsidRDefault="00000000" w:rsidRPr="00000000" w14:paraId="000003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47 - 59</w:t>
            </w:r>
          </w:p>
        </w:tc>
        <w:tc>
          <w:tcPr>
            <w:vMerge w:val="continue"/>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3">
            <w:pPr>
              <w:jc w:val="center"/>
              <w:rPr/>
            </w:pPr>
            <w:r w:rsidDel="00000000" w:rsidR="00000000" w:rsidRPr="00000000">
              <w:rPr>
                <w:rtl w:val="0"/>
              </w:rPr>
            </w:r>
          </w:p>
        </w:tc>
        <w:tc>
          <w:tcPr/>
          <w:p w:rsidR="00000000" w:rsidDel="00000000" w:rsidP="00000000" w:rsidRDefault="00000000" w:rsidRPr="00000000" w14:paraId="00000304">
            <w:pPr>
              <w:jc w:val="center"/>
              <w:rPr/>
            </w:pPr>
            <w:r w:rsidDel="00000000" w:rsidR="00000000" w:rsidRPr="00000000">
              <w:rPr>
                <w:color w:val="000000"/>
                <w:rtl w:val="0"/>
              </w:rPr>
              <w:t xml:space="preserve">52.14</w:t>
            </w:r>
            <w:r w:rsidDel="00000000" w:rsidR="00000000" w:rsidRPr="00000000">
              <w:rPr>
                <w:rtl w:val="0"/>
              </w:rPr>
            </w:r>
          </w:p>
        </w:tc>
        <w:tc>
          <w:tcPr/>
          <w:p w:rsidR="00000000" w:rsidDel="00000000" w:rsidP="00000000" w:rsidRDefault="00000000" w:rsidRPr="00000000" w14:paraId="00000305">
            <w:pPr>
              <w:jc w:val="center"/>
              <w:rPr/>
            </w:pPr>
            <w:r w:rsidDel="00000000" w:rsidR="00000000" w:rsidRPr="00000000">
              <w:rPr>
                <w:color w:val="000000"/>
                <w:rtl w:val="0"/>
              </w:rPr>
              <w:t xml:space="preserve">3.64</w:t>
            </w:r>
            <w:r w:rsidDel="00000000" w:rsidR="00000000" w:rsidRPr="00000000">
              <w:rPr>
                <w:rtl w:val="0"/>
              </w:rPr>
            </w:r>
          </w:p>
        </w:tc>
        <w:tc>
          <w:tcPr/>
          <w:p w:rsidR="00000000" w:rsidDel="00000000" w:rsidP="00000000" w:rsidRDefault="00000000" w:rsidRPr="00000000" w14:paraId="00000306">
            <w:pPr>
              <w:jc w:val="center"/>
              <w:rPr/>
            </w:pPr>
            <w:r w:rsidDel="00000000" w:rsidR="00000000" w:rsidRPr="00000000">
              <w:rPr>
                <w:color w:val="000000"/>
                <w:rtl w:val="0"/>
              </w:rPr>
              <w:t xml:space="preserve">37 (24.8)</w:t>
            </w:r>
            <w:r w:rsidDel="00000000" w:rsidR="00000000" w:rsidRPr="00000000">
              <w:rPr>
                <w:rtl w:val="0"/>
              </w:rPr>
            </w:r>
          </w:p>
        </w:tc>
      </w:tr>
      <w:tr>
        <w:trPr>
          <w:cantSplit w:val="0"/>
          <w:tblHeader w:val="0"/>
        </w:trPr>
        <w:tc>
          <w:tcPr/>
          <w:p w:rsidR="00000000" w:rsidDel="00000000" w:rsidP="00000000" w:rsidRDefault="00000000" w:rsidRPr="00000000" w14:paraId="000003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&gt; 60</w:t>
            </w:r>
          </w:p>
        </w:tc>
        <w:tc>
          <w:tcPr>
            <w:vMerge w:val="continue"/>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9">
            <w:pPr>
              <w:jc w:val="center"/>
              <w:rPr/>
            </w:pPr>
            <w:r w:rsidDel="00000000" w:rsidR="00000000" w:rsidRPr="00000000">
              <w:rPr>
                <w:rtl w:val="0"/>
              </w:rPr>
            </w:r>
          </w:p>
        </w:tc>
        <w:tc>
          <w:tcPr/>
          <w:p w:rsidR="00000000" w:rsidDel="00000000" w:rsidP="00000000" w:rsidRDefault="00000000" w:rsidRPr="00000000" w14:paraId="0000030A">
            <w:pPr>
              <w:jc w:val="center"/>
              <w:rPr/>
            </w:pPr>
            <w:r w:rsidDel="00000000" w:rsidR="00000000" w:rsidRPr="00000000">
              <w:rPr>
                <w:color w:val="000000"/>
                <w:rtl w:val="0"/>
              </w:rPr>
              <w:t xml:space="preserve">64.00</w:t>
            </w:r>
            <w:r w:rsidDel="00000000" w:rsidR="00000000" w:rsidRPr="00000000">
              <w:rPr>
                <w:rtl w:val="0"/>
              </w:rPr>
            </w:r>
          </w:p>
        </w:tc>
        <w:tc>
          <w:tcPr/>
          <w:p w:rsidR="00000000" w:rsidDel="00000000" w:rsidP="00000000" w:rsidRDefault="00000000" w:rsidRPr="00000000" w14:paraId="0000030B">
            <w:pPr>
              <w:jc w:val="center"/>
              <w:rPr/>
            </w:pPr>
            <w:r w:rsidDel="00000000" w:rsidR="00000000" w:rsidRPr="00000000">
              <w:rPr>
                <w:color w:val="000000"/>
                <w:rtl w:val="0"/>
              </w:rPr>
              <w:t xml:space="preserve">3.44</w:t>
            </w:r>
            <w:r w:rsidDel="00000000" w:rsidR="00000000" w:rsidRPr="00000000">
              <w:rPr>
                <w:rtl w:val="0"/>
              </w:rPr>
            </w:r>
          </w:p>
        </w:tc>
        <w:tc>
          <w:tcPr/>
          <w:p w:rsidR="00000000" w:rsidDel="00000000" w:rsidP="00000000" w:rsidRDefault="00000000" w:rsidRPr="00000000" w14:paraId="0000030C">
            <w:pPr>
              <w:jc w:val="center"/>
              <w:rPr>
                <w:color w:val="000000"/>
              </w:rPr>
            </w:pPr>
            <w:r w:rsidDel="00000000" w:rsidR="00000000" w:rsidRPr="00000000">
              <w:rPr>
                <w:color w:val="000000"/>
                <w:rtl w:val="0"/>
              </w:rPr>
              <w:t xml:space="preserve">14 (9.4)</w:t>
            </w:r>
          </w:p>
          <w:p w:rsidR="00000000" w:rsidDel="00000000" w:rsidP="00000000" w:rsidRDefault="00000000" w:rsidRPr="00000000" w14:paraId="0000030D">
            <w:pPr>
              <w:jc w:val="center"/>
              <w:rPr>
                <w:color w:val="000000"/>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0F">
            <w:pPr>
              <w:rPr>
                <w:b w:val="1"/>
              </w:rPr>
            </w:pPr>
            <w:r w:rsidDel="00000000" w:rsidR="00000000" w:rsidRPr="00000000">
              <w:rPr>
                <w:b w:val="1"/>
                <w:rtl w:val="0"/>
              </w:rPr>
              <w:t xml:space="preserve">UCLA Loneliness Scale (version 3) (Russell et al., 1996)</w:t>
            </w:r>
          </w:p>
        </w:tc>
        <w:tc>
          <w:tcPr>
            <w:shd w:fill="d9d9d9" w:val="clear"/>
          </w:tcPr>
          <w:p w:rsidR="00000000" w:rsidDel="00000000" w:rsidP="00000000" w:rsidRDefault="00000000" w:rsidRPr="00000000" w14:paraId="00000310">
            <w:pPr>
              <w:jc w:val="center"/>
              <w:rPr/>
            </w:pPr>
            <w:r w:rsidDel="00000000" w:rsidR="00000000" w:rsidRPr="00000000">
              <w:rPr>
                <w:rtl w:val="0"/>
              </w:rPr>
              <w:t xml:space="preserve">0-60</w:t>
            </w:r>
          </w:p>
        </w:tc>
        <w:tc>
          <w:tcPr>
            <w:shd w:fill="d9d9d9" w:val="clear"/>
          </w:tcPr>
          <w:p w:rsidR="00000000" w:rsidDel="00000000" w:rsidP="00000000" w:rsidRDefault="00000000" w:rsidRPr="00000000" w14:paraId="00000311">
            <w:pPr>
              <w:jc w:val="center"/>
              <w:rPr/>
            </w:pPr>
            <w:r w:rsidDel="00000000" w:rsidR="00000000" w:rsidRPr="00000000">
              <w:rPr>
                <w:rtl w:val="0"/>
              </w:rPr>
              <w:t xml:space="preserve">23-75</w:t>
            </w:r>
          </w:p>
        </w:tc>
        <w:tc>
          <w:tcPr>
            <w:shd w:fill="d9d9d9" w:val="clear"/>
          </w:tcPr>
          <w:p w:rsidR="00000000" w:rsidDel="00000000" w:rsidP="00000000" w:rsidRDefault="00000000" w:rsidRPr="00000000" w14:paraId="00000312">
            <w:pPr>
              <w:jc w:val="center"/>
              <w:rPr/>
            </w:pPr>
            <w:r w:rsidDel="00000000" w:rsidR="00000000" w:rsidRPr="00000000">
              <w:rPr>
                <w:color w:val="000000"/>
                <w:rtl w:val="0"/>
              </w:rPr>
              <w:t xml:space="preserve">49.38</w:t>
            </w:r>
            <w:r w:rsidDel="00000000" w:rsidR="00000000" w:rsidRPr="00000000">
              <w:rPr>
                <w:rtl w:val="0"/>
              </w:rPr>
            </w:r>
          </w:p>
        </w:tc>
        <w:tc>
          <w:tcPr>
            <w:shd w:fill="d9d9d9" w:val="clear"/>
          </w:tcPr>
          <w:p w:rsidR="00000000" w:rsidDel="00000000" w:rsidP="00000000" w:rsidRDefault="00000000" w:rsidRPr="00000000" w14:paraId="00000313">
            <w:pPr>
              <w:jc w:val="center"/>
              <w:rPr/>
            </w:pPr>
            <w:r w:rsidDel="00000000" w:rsidR="00000000" w:rsidRPr="00000000">
              <w:rPr>
                <w:color w:val="000000"/>
                <w:rtl w:val="0"/>
              </w:rPr>
              <w:t xml:space="preserve">10.62</w:t>
            </w:r>
            <w:r w:rsidDel="00000000" w:rsidR="00000000" w:rsidRPr="00000000">
              <w:rPr>
                <w:rtl w:val="0"/>
              </w:rPr>
            </w:r>
          </w:p>
        </w:tc>
        <w:tc>
          <w:tcPr>
            <w:shd w:fill="d9d9d9" w:val="clear"/>
          </w:tcPr>
          <w:p w:rsidR="00000000" w:rsidDel="00000000" w:rsidP="00000000" w:rsidRDefault="00000000" w:rsidRPr="00000000" w14:paraId="00000314">
            <w:pPr>
              <w:jc w:val="center"/>
              <w:rPr/>
            </w:pPr>
            <w:r w:rsidDel="00000000" w:rsidR="00000000" w:rsidRPr="00000000">
              <w:rPr>
                <w:rtl w:val="0"/>
              </w:rPr>
              <w:t xml:space="preserve">149 (100)</w:t>
            </w:r>
          </w:p>
        </w:tc>
      </w:tr>
      <w:tr>
        <w:trPr>
          <w:cantSplit w:val="0"/>
          <w:tblHeader w:val="0"/>
        </w:trPr>
        <w:tc>
          <w:tcPr/>
          <w:p w:rsidR="00000000" w:rsidDel="00000000" w:rsidP="00000000" w:rsidRDefault="00000000" w:rsidRPr="00000000" w14:paraId="00000315">
            <w:pPr>
              <w:rPr>
                <w:i w:val="1"/>
              </w:rPr>
            </w:pPr>
            <w:r w:rsidDel="00000000" w:rsidR="00000000" w:rsidRPr="00000000">
              <w:rPr>
                <w:i w:val="1"/>
                <w:rtl w:val="0"/>
              </w:rPr>
              <w:t xml:space="preserve">Loneliness</w:t>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pPr>
            <w:r w:rsidDel="00000000" w:rsidR="00000000" w:rsidRPr="00000000">
              <w:rPr>
                <w:rtl w:val="0"/>
              </w:rPr>
            </w:r>
          </w:p>
        </w:tc>
        <w:tc>
          <w:tcPr/>
          <w:p w:rsidR="00000000" w:rsidDel="00000000" w:rsidP="00000000" w:rsidRDefault="00000000" w:rsidRPr="00000000" w14:paraId="00000318">
            <w:pPr>
              <w:jc w:val="center"/>
              <w:rPr/>
            </w:pPr>
            <w:r w:rsidDel="00000000" w:rsidR="00000000" w:rsidRPr="00000000">
              <w:rPr>
                <w:rtl w:val="0"/>
              </w:rPr>
            </w:r>
          </w:p>
        </w:tc>
        <w:tc>
          <w:tcPr/>
          <w:p w:rsidR="00000000" w:rsidDel="00000000" w:rsidP="00000000" w:rsidRDefault="00000000" w:rsidRPr="00000000" w14:paraId="00000319">
            <w:pPr>
              <w:jc w:val="center"/>
              <w:rPr/>
            </w:pPr>
            <w:r w:rsidDel="00000000" w:rsidR="00000000" w:rsidRPr="00000000">
              <w:rPr>
                <w:rtl w:val="0"/>
              </w:rPr>
            </w:r>
          </w:p>
        </w:tc>
        <w:tc>
          <w:tcPr/>
          <w:p w:rsidR="00000000" w:rsidDel="00000000" w:rsidP="00000000" w:rsidRDefault="00000000" w:rsidRPr="00000000" w14:paraId="0000031A">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3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Low</w:t>
            </w:r>
          </w:p>
        </w:tc>
        <w:tc>
          <w:tcPr/>
          <w:p w:rsidR="00000000" w:rsidDel="00000000" w:rsidP="00000000" w:rsidRDefault="00000000" w:rsidRPr="00000000" w14:paraId="0000031C">
            <w:pPr>
              <w:jc w:val="center"/>
              <w:rPr/>
            </w:pPr>
            <w:r w:rsidDel="00000000" w:rsidR="00000000" w:rsidRPr="00000000">
              <w:rPr>
                <w:rtl w:val="0"/>
              </w:rPr>
              <w:t xml:space="preserve">&lt; 28</w:t>
            </w:r>
          </w:p>
        </w:tc>
        <w:tc>
          <w:tcPr/>
          <w:p w:rsidR="00000000" w:rsidDel="00000000" w:rsidP="00000000" w:rsidRDefault="00000000" w:rsidRPr="00000000" w14:paraId="0000031D">
            <w:pPr>
              <w:jc w:val="center"/>
              <w:rPr/>
            </w:pPr>
            <w:r w:rsidDel="00000000" w:rsidR="00000000" w:rsidRPr="00000000">
              <w:rPr>
                <w:rtl w:val="0"/>
              </w:rPr>
            </w:r>
          </w:p>
        </w:tc>
        <w:tc>
          <w:tcPr/>
          <w:p w:rsidR="00000000" w:rsidDel="00000000" w:rsidP="00000000" w:rsidRDefault="00000000" w:rsidRPr="00000000" w14:paraId="0000031E">
            <w:pPr>
              <w:jc w:val="center"/>
              <w:rPr/>
            </w:pPr>
            <w:r w:rsidDel="00000000" w:rsidR="00000000" w:rsidRPr="00000000">
              <w:rPr>
                <w:color w:val="000000"/>
                <w:rtl w:val="0"/>
              </w:rPr>
              <w:t xml:space="preserve">24.60</w:t>
            </w:r>
            <w:r w:rsidDel="00000000" w:rsidR="00000000" w:rsidRPr="00000000">
              <w:rPr>
                <w:rtl w:val="0"/>
              </w:rPr>
            </w:r>
          </w:p>
        </w:tc>
        <w:tc>
          <w:tcPr/>
          <w:p w:rsidR="00000000" w:rsidDel="00000000" w:rsidP="00000000" w:rsidRDefault="00000000" w:rsidRPr="00000000" w14:paraId="0000031F">
            <w:pPr>
              <w:jc w:val="center"/>
              <w:rPr/>
            </w:pPr>
            <w:r w:rsidDel="00000000" w:rsidR="00000000" w:rsidRPr="00000000">
              <w:rPr>
                <w:color w:val="000000"/>
                <w:rtl w:val="0"/>
              </w:rPr>
              <w:t xml:space="preserve">1.52</w:t>
            </w:r>
            <w:r w:rsidDel="00000000" w:rsidR="00000000" w:rsidRPr="00000000">
              <w:rPr>
                <w:rtl w:val="0"/>
              </w:rPr>
            </w:r>
          </w:p>
        </w:tc>
        <w:tc>
          <w:tcPr/>
          <w:p w:rsidR="00000000" w:rsidDel="00000000" w:rsidP="00000000" w:rsidRDefault="00000000" w:rsidRPr="00000000" w14:paraId="00000320">
            <w:pPr>
              <w:jc w:val="center"/>
              <w:rPr/>
            </w:pPr>
            <w:r w:rsidDel="00000000" w:rsidR="00000000" w:rsidRPr="00000000">
              <w:rPr>
                <w:color w:val="000000"/>
                <w:rtl w:val="0"/>
              </w:rPr>
              <w:t xml:space="preserve">5 (3.4)</w:t>
            </w:r>
            <w:r w:rsidDel="00000000" w:rsidR="00000000" w:rsidRPr="00000000">
              <w:rPr>
                <w:rtl w:val="0"/>
              </w:rPr>
            </w:r>
          </w:p>
        </w:tc>
      </w:tr>
      <w:tr>
        <w:trPr>
          <w:cantSplit w:val="0"/>
          <w:tblHeader w:val="0"/>
        </w:trPr>
        <w:tc>
          <w:tcPr/>
          <w:p w:rsidR="00000000" w:rsidDel="00000000" w:rsidP="00000000" w:rsidRDefault="00000000" w:rsidRPr="00000000" w14:paraId="000003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Moderate</w:t>
            </w:r>
          </w:p>
        </w:tc>
        <w:tc>
          <w:tcPr/>
          <w:p w:rsidR="00000000" w:rsidDel="00000000" w:rsidP="00000000" w:rsidRDefault="00000000" w:rsidRPr="00000000" w14:paraId="00000322">
            <w:pPr>
              <w:jc w:val="center"/>
              <w:rPr/>
            </w:pPr>
            <w:r w:rsidDel="00000000" w:rsidR="00000000" w:rsidRPr="00000000">
              <w:rPr>
                <w:rtl w:val="0"/>
              </w:rPr>
              <w:t xml:space="preserve">28 - 43</w:t>
            </w:r>
          </w:p>
        </w:tc>
        <w:tc>
          <w:tcPr/>
          <w:p w:rsidR="00000000" w:rsidDel="00000000" w:rsidP="00000000" w:rsidRDefault="00000000" w:rsidRPr="00000000" w14:paraId="00000323">
            <w:pPr>
              <w:jc w:val="center"/>
              <w:rPr/>
            </w:pPr>
            <w:r w:rsidDel="00000000" w:rsidR="00000000" w:rsidRPr="00000000">
              <w:rPr>
                <w:rtl w:val="0"/>
              </w:rPr>
            </w:r>
          </w:p>
        </w:tc>
        <w:tc>
          <w:tcPr/>
          <w:p w:rsidR="00000000" w:rsidDel="00000000" w:rsidP="00000000" w:rsidRDefault="00000000" w:rsidRPr="00000000" w14:paraId="00000324">
            <w:pPr>
              <w:jc w:val="center"/>
              <w:rPr/>
            </w:pPr>
            <w:r w:rsidDel="00000000" w:rsidR="00000000" w:rsidRPr="00000000">
              <w:rPr>
                <w:color w:val="000000"/>
                <w:rtl w:val="0"/>
              </w:rPr>
              <w:t xml:space="preserve">37.50</w:t>
            </w:r>
            <w:r w:rsidDel="00000000" w:rsidR="00000000" w:rsidRPr="00000000">
              <w:rPr>
                <w:rtl w:val="0"/>
              </w:rPr>
            </w:r>
          </w:p>
        </w:tc>
        <w:tc>
          <w:tcPr/>
          <w:p w:rsidR="00000000" w:rsidDel="00000000" w:rsidP="00000000" w:rsidRDefault="00000000" w:rsidRPr="00000000" w14:paraId="00000325">
            <w:pPr>
              <w:jc w:val="center"/>
              <w:rPr/>
            </w:pPr>
            <w:r w:rsidDel="00000000" w:rsidR="00000000" w:rsidRPr="00000000">
              <w:rPr>
                <w:color w:val="000000"/>
                <w:rtl w:val="0"/>
              </w:rPr>
              <w:t xml:space="preserve">4.14</w:t>
            </w:r>
            <w:r w:rsidDel="00000000" w:rsidR="00000000" w:rsidRPr="00000000">
              <w:rPr>
                <w:rtl w:val="0"/>
              </w:rPr>
            </w:r>
          </w:p>
        </w:tc>
        <w:tc>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34 (22.8)</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High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8">
            <w:pPr>
              <w:ind w:left="360" w:firstLine="0"/>
              <w:rPr/>
            </w:pPr>
            <w:r w:rsidDel="00000000" w:rsidR="00000000" w:rsidRPr="00000000">
              <w:rPr>
                <w:rtl w:val="0"/>
              </w:rPr>
              <w:t xml:space="preserve">&gt; 43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9">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A">
            <w:pPr>
              <w:jc w:val="center"/>
              <w:rPr/>
            </w:pPr>
            <w:r w:rsidDel="00000000" w:rsidR="00000000" w:rsidRPr="00000000">
              <w:rPr>
                <w:color w:val="000000"/>
                <w:rtl w:val="0"/>
              </w:rPr>
              <w:t xml:space="preserve">54.18</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B">
            <w:pPr>
              <w:jc w:val="center"/>
              <w:rPr/>
            </w:pPr>
            <w:r w:rsidDel="00000000" w:rsidR="00000000" w:rsidRPr="00000000">
              <w:rPr>
                <w:color w:val="000000"/>
                <w:rtl w:val="0"/>
              </w:rPr>
              <w:t xml:space="preserve">7.24</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2C">
            <w:pPr>
              <w:jc w:val="center"/>
              <w:rPr/>
            </w:pPr>
            <w:r w:rsidDel="00000000" w:rsidR="00000000" w:rsidRPr="00000000">
              <w:rPr>
                <w:color w:val="000000"/>
                <w:rtl w:val="0"/>
              </w:rPr>
              <w:t xml:space="preserve">110 (73.8)</w:t>
            </w:r>
            <w:r w:rsidDel="00000000" w:rsidR="00000000" w:rsidRPr="00000000">
              <w:rPr>
                <w:rtl w:val="0"/>
              </w:rPr>
            </w:r>
          </w:p>
        </w:tc>
      </w:tr>
    </w:tbl>
    <w:p w:rsidR="00000000" w:rsidDel="00000000" w:rsidP="00000000" w:rsidRDefault="00000000" w:rsidRPr="00000000" w14:paraId="0000032D">
      <w:pPr>
        <w:rPr>
          <w:sz w:val="22"/>
          <w:szCs w:val="22"/>
        </w:rPr>
      </w:pPr>
      <w:r w:rsidDel="00000000" w:rsidR="00000000" w:rsidRPr="00000000">
        <w:rPr>
          <w:rtl w:val="0"/>
        </w:rPr>
      </w:r>
    </w:p>
    <w:p w:rsidR="00000000" w:rsidDel="00000000" w:rsidP="00000000" w:rsidRDefault="00000000" w:rsidRPr="00000000" w14:paraId="0000032E">
      <w:pPr>
        <w:rPr>
          <w:sz w:val="22"/>
          <w:szCs w:val="22"/>
        </w:rPr>
      </w:pPr>
      <w:r w:rsidDel="00000000" w:rsidR="00000000" w:rsidRPr="00000000">
        <w:rPr>
          <w:rtl w:val="0"/>
        </w:rPr>
      </w:r>
    </w:p>
    <w:p w:rsidR="00000000" w:rsidDel="00000000" w:rsidP="00000000" w:rsidRDefault="00000000" w:rsidRPr="00000000" w14:paraId="0000032F">
      <w:pPr>
        <w:jc w:val="both"/>
        <w:rPr>
          <w:b w:val="1"/>
          <w:sz w:val="22"/>
          <w:szCs w:val="22"/>
        </w:rPr>
      </w:pPr>
      <w:r w:rsidDel="00000000" w:rsidR="00000000" w:rsidRPr="00000000">
        <w:rPr>
          <w:b w:val="1"/>
          <w:sz w:val="22"/>
          <w:szCs w:val="22"/>
          <w:rtl w:val="0"/>
        </w:rPr>
        <w:t xml:space="preserve">Correlates and Predictors of Binge-Watching</w:t>
      </w:r>
    </w:p>
    <w:p w:rsidR="00000000" w:rsidDel="00000000" w:rsidP="00000000" w:rsidRDefault="00000000" w:rsidRPr="00000000" w14:paraId="00000330">
      <w:pPr>
        <w:jc w:val="both"/>
        <w:rPr>
          <w:sz w:val="22"/>
          <w:szCs w:val="22"/>
        </w:rPr>
      </w:pPr>
      <w:r w:rsidDel="00000000" w:rsidR="00000000" w:rsidRPr="00000000">
        <w:rPr>
          <w:rtl w:val="0"/>
        </w:rPr>
      </w:r>
    </w:p>
    <w:p w:rsidR="00000000" w:rsidDel="00000000" w:rsidP="00000000" w:rsidRDefault="00000000" w:rsidRPr="00000000" w14:paraId="00000331">
      <w:pPr>
        <w:jc w:val="both"/>
        <w:rPr>
          <w:sz w:val="22"/>
          <w:szCs w:val="22"/>
        </w:rPr>
      </w:pPr>
      <w:r w:rsidDel="00000000" w:rsidR="00000000" w:rsidRPr="00000000">
        <w:rPr>
          <w:sz w:val="22"/>
          <w:szCs w:val="22"/>
          <w:rtl w:val="0"/>
        </w:rPr>
        <w:t xml:space="preserve">In the Pearson correlational analyses, binge-watching is positively and significantly correlated with social interaction anxiety (</w:t>
      </w:r>
      <w:r w:rsidDel="00000000" w:rsidR="00000000" w:rsidRPr="00000000">
        <w:rPr>
          <w:i w:val="1"/>
          <w:sz w:val="22"/>
          <w:szCs w:val="22"/>
          <w:rtl w:val="0"/>
        </w:rPr>
        <w:t xml:space="preserve">r</w:t>
      </w:r>
      <w:r w:rsidDel="00000000" w:rsidR="00000000" w:rsidRPr="00000000">
        <w:rPr>
          <w:sz w:val="22"/>
          <w:szCs w:val="22"/>
          <w:rtl w:val="0"/>
        </w:rPr>
        <w:t xml:space="preserve"> = .42, </w:t>
      </w:r>
      <w:r w:rsidDel="00000000" w:rsidR="00000000" w:rsidRPr="00000000">
        <w:rPr>
          <w:i w:val="1"/>
          <w:sz w:val="22"/>
          <w:szCs w:val="22"/>
          <w:rtl w:val="0"/>
        </w:rPr>
        <w:t xml:space="preserve">p</w:t>
      </w:r>
      <w:r w:rsidDel="00000000" w:rsidR="00000000" w:rsidRPr="00000000">
        <w:rPr>
          <w:sz w:val="22"/>
          <w:szCs w:val="22"/>
          <w:rtl w:val="0"/>
        </w:rPr>
        <w:t xml:space="preserve"> &lt; .01) and loneliness (</w:t>
      </w:r>
      <w:r w:rsidDel="00000000" w:rsidR="00000000" w:rsidRPr="00000000">
        <w:rPr>
          <w:i w:val="1"/>
          <w:sz w:val="22"/>
          <w:szCs w:val="22"/>
          <w:rtl w:val="0"/>
        </w:rPr>
        <w:t xml:space="preserve">r </w:t>
      </w:r>
      <w:r w:rsidDel="00000000" w:rsidR="00000000" w:rsidRPr="00000000">
        <w:rPr>
          <w:sz w:val="22"/>
          <w:szCs w:val="22"/>
          <w:rtl w:val="0"/>
        </w:rPr>
        <w:t xml:space="preserve">= .31, </w:t>
      </w:r>
      <w:r w:rsidDel="00000000" w:rsidR="00000000" w:rsidRPr="00000000">
        <w:rPr>
          <w:i w:val="1"/>
          <w:sz w:val="22"/>
          <w:szCs w:val="22"/>
          <w:rtl w:val="0"/>
        </w:rPr>
        <w:t xml:space="preserve">p</w:t>
      </w:r>
      <w:r w:rsidDel="00000000" w:rsidR="00000000" w:rsidRPr="00000000">
        <w:rPr>
          <w:sz w:val="22"/>
          <w:szCs w:val="22"/>
          <w:rtl w:val="0"/>
        </w:rPr>
        <w:t xml:space="preserve"> &lt; .01) but not with perceived stress (</w:t>
      </w:r>
      <w:r w:rsidDel="00000000" w:rsidR="00000000" w:rsidRPr="00000000">
        <w:rPr>
          <w:i w:val="1"/>
          <w:sz w:val="22"/>
          <w:szCs w:val="22"/>
          <w:rtl w:val="0"/>
        </w:rPr>
        <w:t xml:space="preserve">r</w:t>
      </w:r>
      <w:r w:rsidDel="00000000" w:rsidR="00000000" w:rsidRPr="00000000">
        <w:rPr>
          <w:sz w:val="22"/>
          <w:szCs w:val="22"/>
          <w:rtl w:val="0"/>
        </w:rPr>
        <w:t xml:space="preserve"> = .13, </w:t>
      </w:r>
      <w:r w:rsidDel="00000000" w:rsidR="00000000" w:rsidRPr="00000000">
        <w:rPr>
          <w:i w:val="1"/>
          <w:sz w:val="22"/>
          <w:szCs w:val="22"/>
          <w:rtl w:val="0"/>
        </w:rPr>
        <w:t xml:space="preserve">p</w:t>
      </w:r>
      <w:r w:rsidDel="00000000" w:rsidR="00000000" w:rsidRPr="00000000">
        <w:rPr>
          <w:sz w:val="22"/>
          <w:szCs w:val="22"/>
          <w:rtl w:val="0"/>
        </w:rPr>
        <w:t xml:space="preserve"> =.06). Meanwhile, perceived stress is positively and significantly correlated with social interaction anxiety (</w:t>
      </w:r>
      <w:r w:rsidDel="00000000" w:rsidR="00000000" w:rsidRPr="00000000">
        <w:rPr>
          <w:i w:val="1"/>
          <w:sz w:val="22"/>
          <w:szCs w:val="22"/>
          <w:rtl w:val="0"/>
        </w:rPr>
        <w:t xml:space="preserve">r </w:t>
      </w:r>
      <w:r w:rsidDel="00000000" w:rsidR="00000000" w:rsidRPr="00000000">
        <w:rPr>
          <w:sz w:val="22"/>
          <w:szCs w:val="22"/>
          <w:rtl w:val="0"/>
        </w:rPr>
        <w:t xml:space="preserve">= .29, </w:t>
      </w:r>
      <w:r w:rsidDel="00000000" w:rsidR="00000000" w:rsidRPr="00000000">
        <w:rPr>
          <w:i w:val="1"/>
          <w:sz w:val="22"/>
          <w:szCs w:val="22"/>
          <w:rtl w:val="0"/>
        </w:rPr>
        <w:t xml:space="preserve">p</w:t>
      </w:r>
      <w:r w:rsidDel="00000000" w:rsidR="00000000" w:rsidRPr="00000000">
        <w:rPr>
          <w:sz w:val="22"/>
          <w:szCs w:val="22"/>
          <w:rtl w:val="0"/>
        </w:rPr>
        <w:t xml:space="preserve"> &lt; .01) and loneliness (</w:t>
      </w:r>
      <w:r w:rsidDel="00000000" w:rsidR="00000000" w:rsidRPr="00000000">
        <w:rPr>
          <w:i w:val="1"/>
          <w:sz w:val="22"/>
          <w:szCs w:val="22"/>
          <w:rtl w:val="0"/>
        </w:rPr>
        <w:t xml:space="preserve">r </w:t>
      </w:r>
      <w:r w:rsidDel="00000000" w:rsidR="00000000" w:rsidRPr="00000000">
        <w:rPr>
          <w:sz w:val="22"/>
          <w:szCs w:val="22"/>
          <w:rtl w:val="0"/>
        </w:rPr>
        <w:t xml:space="preserve">=  .48, </w:t>
      </w:r>
      <w:r w:rsidDel="00000000" w:rsidR="00000000" w:rsidRPr="00000000">
        <w:rPr>
          <w:i w:val="1"/>
          <w:sz w:val="22"/>
          <w:szCs w:val="22"/>
          <w:rtl w:val="0"/>
        </w:rPr>
        <w:t xml:space="preserve">p</w:t>
      </w:r>
      <w:r w:rsidDel="00000000" w:rsidR="00000000" w:rsidRPr="00000000">
        <w:rPr>
          <w:sz w:val="22"/>
          <w:szCs w:val="22"/>
          <w:rtl w:val="0"/>
        </w:rPr>
        <w:t xml:space="preserve"> &lt; .01). Finally, a statistically significant correlation is found between social interaction anxiety and loneliness (</w:t>
      </w:r>
      <w:r w:rsidDel="00000000" w:rsidR="00000000" w:rsidRPr="00000000">
        <w:rPr>
          <w:i w:val="1"/>
          <w:sz w:val="22"/>
          <w:szCs w:val="22"/>
          <w:rtl w:val="0"/>
        </w:rPr>
        <w:t xml:space="preserve">r</w:t>
      </w:r>
      <w:r w:rsidDel="00000000" w:rsidR="00000000" w:rsidRPr="00000000">
        <w:rPr>
          <w:sz w:val="22"/>
          <w:szCs w:val="22"/>
          <w:rtl w:val="0"/>
        </w:rPr>
        <w:t xml:space="preserve"> = .56, </w:t>
      </w:r>
      <w:r w:rsidDel="00000000" w:rsidR="00000000" w:rsidRPr="00000000">
        <w:rPr>
          <w:i w:val="1"/>
          <w:sz w:val="22"/>
          <w:szCs w:val="22"/>
          <w:rtl w:val="0"/>
        </w:rPr>
        <w:t xml:space="preserve">p</w:t>
      </w:r>
      <w:r w:rsidDel="00000000" w:rsidR="00000000" w:rsidRPr="00000000">
        <w:rPr>
          <w:sz w:val="22"/>
          <w:szCs w:val="22"/>
          <w:rtl w:val="0"/>
        </w:rPr>
        <w:t xml:space="preserve"> &lt; .01). See Table 2 for these results.</w:t>
      </w:r>
    </w:p>
    <w:p w:rsidR="00000000" w:rsidDel="00000000" w:rsidP="00000000" w:rsidRDefault="00000000" w:rsidRPr="00000000" w14:paraId="00000332">
      <w:pPr>
        <w:ind w:firstLine="720"/>
        <w:jc w:val="both"/>
        <w:rPr>
          <w:sz w:val="22"/>
          <w:szCs w:val="22"/>
        </w:rPr>
      </w:pPr>
      <w:r w:rsidDel="00000000" w:rsidR="00000000" w:rsidRPr="00000000">
        <w:rPr>
          <w:rtl w:val="0"/>
        </w:rPr>
      </w:r>
    </w:p>
    <w:p w:rsidR="00000000" w:rsidDel="00000000" w:rsidP="00000000" w:rsidRDefault="00000000" w:rsidRPr="00000000" w14:paraId="00000333">
      <w:pPr>
        <w:ind w:firstLine="720"/>
        <w:jc w:val="both"/>
        <w:rPr>
          <w:sz w:val="22"/>
          <w:szCs w:val="22"/>
        </w:rPr>
      </w:pPr>
      <w:r w:rsidDel="00000000" w:rsidR="00000000" w:rsidRPr="00000000">
        <w:rPr>
          <w:sz w:val="22"/>
          <w:szCs w:val="22"/>
          <w:rtl w:val="0"/>
        </w:rPr>
        <w:t xml:space="preserve">A multiple regression analysis was performed using perceived stress, social interaction anxiety, and loneliness as the predictors and binge-watching as the dependent variable. Results indicate that perceived stress (</w:t>
      </w:r>
      <w:r w:rsidDel="00000000" w:rsidR="00000000" w:rsidRPr="00000000">
        <w:rPr>
          <w:i w:val="1"/>
          <w:sz w:val="22"/>
          <w:szCs w:val="22"/>
          <w:rtl w:val="0"/>
        </w:rPr>
        <w:t xml:space="preserve">B</w:t>
      </w:r>
      <w:r w:rsidDel="00000000" w:rsidR="00000000" w:rsidRPr="00000000">
        <w:rPr>
          <w:sz w:val="22"/>
          <w:szCs w:val="22"/>
          <w:rtl w:val="0"/>
        </w:rPr>
        <w:t xml:space="preserve"> = -.07; </w:t>
      </w:r>
      <w:r w:rsidDel="00000000" w:rsidR="00000000" w:rsidRPr="00000000">
        <w:rPr>
          <w:i w:val="1"/>
          <w:sz w:val="22"/>
          <w:szCs w:val="22"/>
          <w:rtl w:val="0"/>
        </w:rPr>
        <w:t xml:space="preserve">β</w:t>
      </w:r>
      <w:r w:rsidDel="00000000" w:rsidR="00000000" w:rsidRPr="00000000">
        <w:rPr>
          <w:sz w:val="22"/>
          <w:szCs w:val="22"/>
          <w:rtl w:val="0"/>
        </w:rPr>
        <w:t xml:space="preserve"> = -.03, </w:t>
      </w:r>
      <w:r w:rsidDel="00000000" w:rsidR="00000000" w:rsidRPr="00000000">
        <w:rPr>
          <w:i w:val="1"/>
          <w:sz w:val="22"/>
          <w:szCs w:val="22"/>
          <w:rtl w:val="0"/>
        </w:rPr>
        <w:t xml:space="preserve">p</w:t>
      </w:r>
      <w:r w:rsidDel="00000000" w:rsidR="00000000" w:rsidRPr="00000000">
        <w:rPr>
          <w:sz w:val="22"/>
          <w:szCs w:val="22"/>
          <w:rtl w:val="0"/>
        </w:rPr>
        <w:t xml:space="preserve"> = .72) and loneliness (</w:t>
      </w:r>
      <w:r w:rsidDel="00000000" w:rsidR="00000000" w:rsidRPr="00000000">
        <w:rPr>
          <w:i w:val="1"/>
          <w:sz w:val="22"/>
          <w:szCs w:val="22"/>
          <w:rtl w:val="0"/>
        </w:rPr>
        <w:t xml:space="preserve">B</w:t>
      </w:r>
      <w:r w:rsidDel="00000000" w:rsidR="00000000" w:rsidRPr="00000000">
        <w:rPr>
          <w:sz w:val="22"/>
          <w:szCs w:val="22"/>
          <w:rtl w:val="0"/>
        </w:rPr>
        <w:t xml:space="preserve"> = .15; </w:t>
      </w:r>
      <w:r w:rsidDel="00000000" w:rsidR="00000000" w:rsidRPr="00000000">
        <w:rPr>
          <w:i w:val="1"/>
          <w:sz w:val="22"/>
          <w:szCs w:val="22"/>
          <w:rtl w:val="0"/>
        </w:rPr>
        <w:t xml:space="preserve">β</w:t>
      </w:r>
      <w:r w:rsidDel="00000000" w:rsidR="00000000" w:rsidRPr="00000000">
        <w:rPr>
          <w:sz w:val="22"/>
          <w:szCs w:val="22"/>
          <w:rtl w:val="0"/>
        </w:rPr>
        <w:t xml:space="preserve"> = .12, </w:t>
      </w:r>
      <w:r w:rsidDel="00000000" w:rsidR="00000000" w:rsidRPr="00000000">
        <w:rPr>
          <w:i w:val="1"/>
          <w:sz w:val="22"/>
          <w:szCs w:val="22"/>
          <w:rtl w:val="0"/>
        </w:rPr>
        <w:t xml:space="preserve">p</w:t>
      </w:r>
      <w:r w:rsidDel="00000000" w:rsidR="00000000" w:rsidRPr="00000000">
        <w:rPr>
          <w:sz w:val="22"/>
          <w:szCs w:val="22"/>
          <w:rtl w:val="0"/>
        </w:rPr>
        <w:t xml:space="preserve"> = .23) do not significantly predict binge-watching. On the other hand, we find a significant predictive relationship between social interaction anxiety and binge-watching (</w:t>
      </w:r>
      <w:r w:rsidDel="00000000" w:rsidR="00000000" w:rsidRPr="00000000">
        <w:rPr>
          <w:i w:val="1"/>
          <w:sz w:val="22"/>
          <w:szCs w:val="22"/>
          <w:rtl w:val="0"/>
        </w:rPr>
        <w:t xml:space="preserve">B</w:t>
      </w:r>
      <w:r w:rsidDel="00000000" w:rsidR="00000000" w:rsidRPr="00000000">
        <w:rPr>
          <w:sz w:val="22"/>
          <w:szCs w:val="22"/>
          <w:rtl w:val="0"/>
        </w:rPr>
        <w:t xml:space="preserve"> = .32; </w:t>
      </w:r>
      <w:r w:rsidDel="00000000" w:rsidR="00000000" w:rsidRPr="00000000">
        <w:rPr>
          <w:i w:val="1"/>
          <w:sz w:val="22"/>
          <w:szCs w:val="22"/>
          <w:rtl w:val="0"/>
        </w:rPr>
        <w:t xml:space="preserve">β</w:t>
      </w:r>
      <w:r w:rsidDel="00000000" w:rsidR="00000000" w:rsidRPr="00000000">
        <w:rPr>
          <w:sz w:val="22"/>
          <w:szCs w:val="22"/>
          <w:rtl w:val="0"/>
        </w:rPr>
        <w:t xml:space="preserve"> = .36, </w:t>
      </w:r>
      <w:r w:rsidDel="00000000" w:rsidR="00000000" w:rsidRPr="00000000">
        <w:rPr>
          <w:i w:val="1"/>
          <w:sz w:val="22"/>
          <w:szCs w:val="22"/>
          <w:rtl w:val="0"/>
        </w:rPr>
        <w:t xml:space="preserve">p</w:t>
      </w:r>
      <w:r w:rsidDel="00000000" w:rsidR="00000000" w:rsidRPr="00000000">
        <w:rPr>
          <w:sz w:val="22"/>
          <w:szCs w:val="22"/>
          <w:rtl w:val="0"/>
        </w:rPr>
        <w:t xml:space="preserve"> &lt; .001), with </w:t>
      </w:r>
      <w:r w:rsidDel="00000000" w:rsidR="00000000" w:rsidRPr="00000000">
        <w:rPr>
          <w:i w:val="1"/>
          <w:sz w:val="22"/>
          <w:szCs w:val="22"/>
          <w:rtl w:val="0"/>
        </w:rPr>
        <w:t xml:space="preserve">F</w:t>
      </w:r>
      <w:r w:rsidDel="00000000" w:rsidR="00000000" w:rsidRPr="00000000">
        <w:rPr>
          <w:sz w:val="22"/>
          <w:szCs w:val="22"/>
          <w:rtl w:val="0"/>
        </w:rPr>
        <w:t xml:space="preserve">(3, 145) = 10.64, </w:t>
      </w:r>
      <w:r w:rsidDel="00000000" w:rsidR="00000000" w:rsidRPr="00000000">
        <w:rPr>
          <w:i w:val="1"/>
          <w:sz w:val="22"/>
          <w:szCs w:val="22"/>
          <w:rtl w:val="0"/>
        </w:rPr>
        <w:t xml:space="preserve">p</w:t>
      </w:r>
      <w:r w:rsidDel="00000000" w:rsidR="00000000" w:rsidRPr="00000000">
        <w:rPr>
          <w:sz w:val="22"/>
          <w:szCs w:val="22"/>
          <w:rtl w:val="0"/>
        </w:rPr>
        <w:t xml:space="preserve"> &lt; .001, </w:t>
      </w:r>
      <w:r w:rsidDel="00000000" w:rsidR="00000000" w:rsidRPr="00000000">
        <w:rPr>
          <w:i w:val="1"/>
          <w:sz w:val="22"/>
          <w:szCs w:val="22"/>
          <w:rtl w:val="0"/>
        </w:rPr>
        <w:t xml:space="preserve">R</w:t>
      </w:r>
      <w:r w:rsidDel="00000000" w:rsidR="00000000" w:rsidRPr="00000000">
        <w:rPr>
          <w:i w:val="1"/>
          <w:sz w:val="22"/>
          <w:szCs w:val="22"/>
          <w:vertAlign w:val="superscript"/>
          <w:rtl w:val="0"/>
        </w:rPr>
        <w:t xml:space="preserve">2</w:t>
      </w:r>
      <w:r w:rsidDel="00000000" w:rsidR="00000000" w:rsidRPr="00000000">
        <w:rPr>
          <w:sz w:val="22"/>
          <w:szCs w:val="22"/>
          <w:rtl w:val="0"/>
        </w:rPr>
        <w:t xml:space="preserve"> = .18. Thus, social interaction anxiety is a significant predictor of binge-watching (see Table 5 and Figure 2).</w:t>
      </w:r>
    </w:p>
    <w:p w:rsidR="00000000" w:rsidDel="00000000" w:rsidP="00000000" w:rsidRDefault="00000000" w:rsidRPr="00000000" w14:paraId="00000334">
      <w:pPr>
        <w:ind w:firstLine="720"/>
        <w:jc w:val="both"/>
        <w:rPr>
          <w:sz w:val="22"/>
          <w:szCs w:val="22"/>
        </w:rPr>
      </w:pPr>
      <w:r w:rsidDel="00000000" w:rsidR="00000000" w:rsidRPr="00000000">
        <w:rPr>
          <w:rtl w:val="0"/>
        </w:rPr>
      </w:r>
    </w:p>
    <w:p w:rsidR="00000000" w:rsidDel="00000000" w:rsidP="00000000" w:rsidRDefault="00000000" w:rsidRPr="00000000" w14:paraId="00000335">
      <w:pPr>
        <w:rPr>
          <w:sz w:val="22"/>
          <w:szCs w:val="22"/>
        </w:rPr>
      </w:pPr>
      <w:r w:rsidDel="00000000" w:rsidR="00000000" w:rsidRPr="00000000">
        <w:rPr>
          <w:rtl w:val="0"/>
        </w:rPr>
      </w:r>
    </w:p>
    <w:p w:rsidR="00000000" w:rsidDel="00000000" w:rsidP="00000000" w:rsidRDefault="00000000" w:rsidRPr="00000000" w14:paraId="00000336">
      <w:pPr>
        <w:rPr>
          <w:b w:val="1"/>
        </w:rPr>
      </w:pPr>
      <w:r w:rsidDel="00000000" w:rsidR="00000000" w:rsidRPr="00000000">
        <w:rPr>
          <w:b w:val="1"/>
          <w:rtl w:val="0"/>
        </w:rPr>
        <w:t xml:space="preserve">Table 5</w:t>
      </w:r>
    </w:p>
    <w:p w:rsidR="00000000" w:rsidDel="00000000" w:rsidP="00000000" w:rsidRDefault="00000000" w:rsidRPr="00000000" w14:paraId="00000337">
      <w:pPr>
        <w:rPr>
          <w:b w:val="1"/>
        </w:rPr>
      </w:pPr>
      <w:r w:rsidDel="00000000" w:rsidR="00000000" w:rsidRPr="00000000">
        <w:rPr>
          <w:rtl w:val="0"/>
        </w:rPr>
      </w:r>
    </w:p>
    <w:p w:rsidR="00000000" w:rsidDel="00000000" w:rsidP="00000000" w:rsidRDefault="00000000" w:rsidRPr="00000000" w14:paraId="00000338">
      <w:pPr>
        <w:rPr>
          <w:i w:val="1"/>
        </w:rPr>
      </w:pPr>
      <w:r w:rsidDel="00000000" w:rsidR="00000000" w:rsidRPr="00000000">
        <w:rPr>
          <w:i w:val="1"/>
          <w:rtl w:val="0"/>
        </w:rPr>
        <w:t xml:space="preserve"> Regression results with binge-watching as the criterion/outcome variable</w:t>
      </w:r>
    </w:p>
    <w:p w:rsidR="00000000" w:rsidDel="00000000" w:rsidP="00000000" w:rsidRDefault="00000000" w:rsidRPr="00000000" w14:paraId="00000339">
      <w:pPr>
        <w:jc w:val="both"/>
        <w:rPr>
          <w:sz w:val="22"/>
          <w:szCs w:val="22"/>
        </w:rPr>
      </w:pPr>
      <w:r w:rsidDel="00000000" w:rsidR="00000000" w:rsidRPr="00000000">
        <w:rPr>
          <w:rtl w:val="0"/>
        </w:rPr>
      </w:r>
    </w:p>
    <w:tbl>
      <w:tblPr>
        <w:tblStyle w:val="Table5"/>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1027"/>
        <w:gridCol w:w="1028"/>
        <w:gridCol w:w="1027"/>
        <w:gridCol w:w="1028"/>
        <w:gridCol w:w="1347"/>
        <w:gridCol w:w="1347"/>
        <w:tblGridChange w:id="0">
          <w:tblGrid>
            <w:gridCol w:w="2121"/>
            <w:gridCol w:w="1027"/>
            <w:gridCol w:w="1028"/>
            <w:gridCol w:w="1027"/>
            <w:gridCol w:w="1028"/>
            <w:gridCol w:w="1347"/>
            <w:gridCol w:w="1347"/>
          </w:tblGrid>
        </w:tblGridChange>
      </w:tblGrid>
      <w:tr>
        <w:trPr>
          <w:cantSplit w:val="0"/>
          <w:trHeight w:val="90" w:hRule="atLeast"/>
          <w:tblHeader w:val="0"/>
        </w:trPr>
        <w:tc>
          <w:tcPr>
            <w:vMerge w:val="restart"/>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A">
            <w:pPr>
              <w:spacing w:after="48.00000000000001" w:before="48.00000000000001" w:lineRule="auto"/>
              <w:rPr>
                <w:rFonts w:ascii="Book Antiqua" w:cs="Book Antiqua" w:eastAsia="Book Antiqua" w:hAnsi="Book Antiqua"/>
              </w:rPr>
            </w:pP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B">
            <w:pPr>
              <w:spacing w:after="48.00000000000001" w:before="48.00000000000001"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B</w:t>
            </w:r>
          </w:p>
        </w:tc>
        <w:tc>
          <w:tcPr>
            <w:vMerge w:val="restart"/>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C">
            <w:pPr>
              <w:spacing w:after="48.00000000000001" w:before="48.00000000000001"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SE</w:t>
            </w:r>
          </w:p>
        </w:tc>
        <w:tc>
          <w:tcPr>
            <w:vMerge w:val="restart"/>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D">
            <w:pPr>
              <w:spacing w:after="48.00000000000001" w:before="48.00000000000001"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β</w:t>
            </w:r>
          </w:p>
        </w:tc>
        <w:tc>
          <w:tcPr>
            <w:vMerge w:val="restart"/>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E">
            <w:pPr>
              <w:spacing w:after="48.00000000000001" w:before="48.00000000000001"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p</w:t>
            </w:r>
          </w:p>
        </w:tc>
        <w:tc>
          <w:tcPr>
            <w:gridSpan w:val="2"/>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3F">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95% CI</w:t>
            </w:r>
          </w:p>
        </w:tc>
      </w:tr>
      <w:tr>
        <w:trPr>
          <w:cantSplit w:val="0"/>
          <w:trHeight w:val="90" w:hRule="atLeast"/>
          <w:tblHeader w:val="0"/>
        </w:trPr>
        <w:tc>
          <w:tcPr>
            <w:vMerge w:val="continue"/>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6">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Lower</w:t>
            </w:r>
          </w:p>
        </w:tc>
        <w:tc>
          <w:tcPr>
            <w:tcBorders>
              <w:top w:color="000000" w:space="0" w:sz="4" w:val="single"/>
              <w:left w:color="000000" w:space="0" w:sz="0" w:val="nil"/>
              <w:bottom w:color="000000" w:space="0" w:sz="4" w:val="single"/>
              <w:right w:color="000000" w:space="0" w:sz="0" w:val="nil"/>
            </w:tcBorders>
            <w:shd w:fill="d9d9d9" w:val="clear"/>
          </w:tcPr>
          <w:p w:rsidR="00000000" w:rsidDel="00000000" w:rsidP="00000000" w:rsidRDefault="00000000" w:rsidRPr="00000000" w14:paraId="00000347">
            <w:pPr>
              <w:spacing w:after="48.00000000000001" w:before="48.00000000000001"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Upper</w:t>
            </w:r>
          </w:p>
        </w:tc>
      </w:tr>
      <w:tr>
        <w:trPr>
          <w:cantSplit w:val="0"/>
          <w:trHeight w:val="9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8">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Perceived stress</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9">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-.07</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A">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.19</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B">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C">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.72</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D">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-.46</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E">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.32</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34F">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Social interaction anxiety</w:t>
            </w:r>
          </w:p>
        </w:tc>
        <w:tc>
          <w:tcPr/>
          <w:p w:rsidR="00000000" w:rsidDel="00000000" w:rsidP="00000000" w:rsidRDefault="00000000" w:rsidRPr="00000000" w14:paraId="00000350">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.32</w:t>
            </w:r>
            <w:r w:rsidDel="00000000" w:rsidR="00000000" w:rsidRPr="00000000">
              <w:rPr>
                <w:rtl w:val="0"/>
              </w:rPr>
            </w:r>
          </w:p>
        </w:tc>
        <w:tc>
          <w:tcPr/>
          <w:p w:rsidR="00000000" w:rsidDel="00000000" w:rsidP="00000000" w:rsidRDefault="00000000" w:rsidRPr="00000000" w14:paraId="00000351">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.08</w:t>
            </w:r>
            <w:r w:rsidDel="00000000" w:rsidR="00000000" w:rsidRPr="00000000">
              <w:rPr>
                <w:rtl w:val="0"/>
              </w:rPr>
            </w:r>
          </w:p>
        </w:tc>
        <w:tc>
          <w:tcPr/>
          <w:p w:rsidR="00000000" w:rsidDel="00000000" w:rsidP="00000000" w:rsidRDefault="00000000" w:rsidRPr="00000000" w14:paraId="00000352">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.36</w:t>
            </w:r>
            <w:r w:rsidDel="00000000" w:rsidR="00000000" w:rsidRPr="00000000">
              <w:rPr>
                <w:rtl w:val="0"/>
              </w:rPr>
            </w:r>
          </w:p>
        </w:tc>
        <w:tc>
          <w:tcPr/>
          <w:p w:rsidR="00000000" w:rsidDel="00000000" w:rsidP="00000000" w:rsidRDefault="00000000" w:rsidRPr="00000000" w14:paraId="00000353">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.00</w:t>
            </w:r>
            <w:r w:rsidDel="00000000" w:rsidR="00000000" w:rsidRPr="00000000">
              <w:rPr>
                <w:rtl w:val="0"/>
              </w:rPr>
            </w:r>
          </w:p>
        </w:tc>
        <w:tc>
          <w:tcPr/>
          <w:p w:rsidR="00000000" w:rsidDel="00000000" w:rsidP="00000000" w:rsidRDefault="00000000" w:rsidRPr="00000000" w14:paraId="00000354">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.16</w:t>
            </w:r>
            <w:r w:rsidDel="00000000" w:rsidR="00000000" w:rsidRPr="00000000">
              <w:rPr>
                <w:rtl w:val="0"/>
              </w:rPr>
            </w:r>
          </w:p>
        </w:tc>
        <w:tc>
          <w:tcPr/>
          <w:p w:rsidR="00000000" w:rsidDel="00000000" w:rsidP="00000000" w:rsidRDefault="00000000" w:rsidRPr="00000000" w14:paraId="00000355">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.47</w:t>
            </w:r>
            <w:r w:rsidDel="00000000" w:rsidR="00000000" w:rsidRPr="00000000">
              <w:rPr>
                <w:rtl w:val="0"/>
              </w:rPr>
            </w:r>
          </w:p>
        </w:tc>
      </w:tr>
      <w:tr>
        <w:trPr>
          <w:cantSplit w:val="0"/>
          <w:trHeight w:val="9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6">
            <w:pPr>
              <w:spacing w:after="48.00000000000001" w:before="48.00000000000001"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Loneliness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7">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8">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9">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A">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.23</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B">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-.09</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C">
            <w:pPr>
              <w:spacing w:after="48.00000000000001" w:before="48.00000000000001" w:lineRule="auto"/>
              <w:jc w:val="cente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.39</w:t>
            </w:r>
            <w:r w:rsidDel="00000000" w:rsidR="00000000" w:rsidRPr="00000000">
              <w:rPr>
                <w:rtl w:val="0"/>
              </w:rPr>
            </w:r>
          </w:p>
        </w:tc>
      </w:tr>
      <w:tr>
        <w:trPr>
          <w:cantSplit w:val="0"/>
          <w:trHeight w:val="90" w:hRule="atLeast"/>
          <w:tblHeader w:val="0"/>
        </w:trPr>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5D">
            <w:pPr>
              <w:spacing w:after="48.00000000000001" w:before="48.00000000000001" w:lineRule="auto"/>
              <w:jc w:val="left"/>
              <w:rPr>
                <w:rFonts w:ascii="Book Antiqua" w:cs="Book Antiqua" w:eastAsia="Book Antiqua" w:hAnsi="Book Antiqua"/>
                <w:color w:val="000000"/>
              </w:rPr>
            </w:pPr>
            <w:r w:rsidDel="00000000" w:rsidR="00000000" w:rsidRPr="00000000">
              <w:rPr>
                <w:rFonts w:ascii="Book Antiqua" w:cs="Book Antiqua" w:eastAsia="Book Antiqua" w:hAnsi="Book Antiqua"/>
                <w:i w:val="1"/>
                <w:color w:val="000000"/>
                <w:rtl w:val="0"/>
              </w:rPr>
              <w:t xml:space="preserve">R</w:t>
            </w:r>
            <w:r w:rsidDel="00000000" w:rsidR="00000000" w:rsidRPr="00000000">
              <w:rPr>
                <w:rFonts w:ascii="Book Antiqua" w:cs="Book Antiqua" w:eastAsia="Book Antiqua" w:hAnsi="Book Antiqua"/>
                <w:i w:val="1"/>
                <w:color w:val="000000"/>
                <w:vertAlign w:val="superscript"/>
                <w:rtl w:val="0"/>
              </w:rPr>
              <w:t xml:space="preserve">2</w:t>
            </w:r>
            <w:r w:rsidDel="00000000" w:rsidR="00000000" w:rsidRPr="00000000">
              <w:rPr>
                <w:rFonts w:ascii="Book Antiqua" w:cs="Book Antiqua" w:eastAsia="Book Antiqua" w:hAnsi="Book Antiqua"/>
                <w:color w:val="000000"/>
                <w:rtl w:val="0"/>
              </w:rPr>
              <w:t xml:space="preserve"> = .18, </w:t>
            </w:r>
            <w:r w:rsidDel="00000000" w:rsidR="00000000" w:rsidRPr="00000000">
              <w:rPr>
                <w:rFonts w:ascii="Book Antiqua" w:cs="Book Antiqua" w:eastAsia="Book Antiqua" w:hAnsi="Book Antiqua"/>
                <w:i w:val="1"/>
                <w:color w:val="000000"/>
                <w:rtl w:val="0"/>
              </w:rPr>
              <w:t xml:space="preserve">F</w:t>
            </w:r>
            <w:r w:rsidDel="00000000" w:rsidR="00000000" w:rsidRPr="00000000">
              <w:rPr>
                <w:rFonts w:ascii="Book Antiqua" w:cs="Book Antiqua" w:eastAsia="Book Antiqua" w:hAnsi="Book Antiqua"/>
                <w:color w:val="000000"/>
                <w:rtl w:val="0"/>
              </w:rPr>
              <w:t xml:space="preserve">(3, 145) = </w:t>
            </w:r>
            <w:r w:rsidDel="00000000" w:rsidR="00000000" w:rsidRPr="00000000">
              <w:rPr>
                <w:rFonts w:ascii="Book Antiqua" w:cs="Book Antiqua" w:eastAsia="Book Antiqua" w:hAnsi="Book Antiqua"/>
                <w:rtl w:val="0"/>
              </w:rPr>
              <w:t xml:space="preserve">10.64</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i w:val="1"/>
                <w:color w:val="000000"/>
                <w:rtl w:val="0"/>
              </w:rPr>
              <w:t xml:space="preserve">p</w:t>
            </w:r>
            <w:r w:rsidDel="00000000" w:rsidR="00000000" w:rsidRPr="00000000">
              <w:rPr>
                <w:rFonts w:ascii="Book Antiqua" w:cs="Book Antiqua" w:eastAsia="Book Antiqua" w:hAnsi="Book Antiqua"/>
                <w:color w:val="000000"/>
                <w:rtl w:val="0"/>
              </w:rPr>
              <w:t xml:space="preserve"> &lt; .001</w:t>
            </w:r>
          </w:p>
        </w:tc>
      </w:tr>
    </w:tbl>
    <w:p w:rsidR="00000000" w:rsidDel="00000000" w:rsidP="00000000" w:rsidRDefault="00000000" w:rsidRPr="00000000" w14:paraId="00000364">
      <w:pPr>
        <w:widowControl w:val="0"/>
        <w:jc w:val="both"/>
        <w:rPr>
          <w:sz w:val="22"/>
          <w:szCs w:val="22"/>
        </w:rPr>
      </w:pPr>
      <w:r w:rsidDel="00000000" w:rsidR="00000000" w:rsidRPr="00000000">
        <w:rPr>
          <w:rtl w:val="0"/>
        </w:rPr>
      </w:r>
    </w:p>
    <w:p w:rsidR="00000000" w:rsidDel="00000000" w:rsidP="00000000" w:rsidRDefault="00000000" w:rsidRPr="00000000" w14:paraId="00000365">
      <w:pPr>
        <w:widowControl w:val="0"/>
        <w:rPr>
          <w:b w:val="1"/>
        </w:rPr>
      </w:pPr>
      <w:r w:rsidDel="00000000" w:rsidR="00000000" w:rsidRPr="00000000">
        <w:rPr>
          <w:rtl w:val="0"/>
        </w:rPr>
      </w:r>
    </w:p>
    <w:p w:rsidR="00000000" w:rsidDel="00000000" w:rsidP="00000000" w:rsidRDefault="00000000" w:rsidRPr="00000000" w14:paraId="00000366">
      <w:pPr>
        <w:widowControl w:val="0"/>
        <w:rPr>
          <w:b w:val="1"/>
        </w:rPr>
      </w:pPr>
      <w:r w:rsidDel="00000000" w:rsidR="00000000" w:rsidRPr="00000000">
        <w:rPr>
          <w:b w:val="1"/>
          <w:rtl w:val="0"/>
        </w:rPr>
        <w:t xml:space="preserve">Figure 2</w:t>
      </w:r>
    </w:p>
    <w:p w:rsidR="00000000" w:rsidDel="00000000" w:rsidP="00000000" w:rsidRDefault="00000000" w:rsidRPr="00000000" w14:paraId="00000367">
      <w:pPr>
        <w:widowControl w:val="0"/>
        <w:rPr>
          <w:b w:val="1"/>
        </w:rPr>
      </w:pPr>
      <w:r w:rsidDel="00000000" w:rsidR="00000000" w:rsidRPr="00000000">
        <w:rPr>
          <w:rtl w:val="0"/>
        </w:rPr>
      </w:r>
    </w:p>
    <w:p w:rsidR="00000000" w:rsidDel="00000000" w:rsidP="00000000" w:rsidRDefault="00000000" w:rsidRPr="00000000" w14:paraId="00000368">
      <w:pPr>
        <w:widowControl w:val="0"/>
        <w:rPr>
          <w:i w:val="1"/>
        </w:rPr>
      </w:pPr>
      <w:r w:rsidDel="00000000" w:rsidR="00000000" w:rsidRPr="00000000">
        <w:rPr>
          <w:i w:val="1"/>
          <w:rtl w:val="0"/>
        </w:rPr>
        <w:t xml:space="preserve">Regression model linking perceived stress, social interaction anxiety, loneliness, and binge-watching in Malaysian undergraduate students</w:t>
      </w:r>
    </w:p>
    <w:p w:rsidR="00000000" w:rsidDel="00000000" w:rsidP="00000000" w:rsidRDefault="00000000" w:rsidRPr="00000000" w14:paraId="00000369">
      <w:pPr>
        <w:widowControl w:val="0"/>
        <w:jc w:val="center"/>
        <w:rPr>
          <w:i w:val="1"/>
          <w:sz w:val="22"/>
          <w:szCs w:val="22"/>
        </w:rPr>
      </w:pPr>
      <w:r w:rsidDel="00000000" w:rsidR="00000000" w:rsidRPr="00000000">
        <w:rPr>
          <w:rtl w:val="0"/>
        </w:rPr>
      </w:r>
    </w:p>
    <w:p w:rsidR="00000000" w:rsidDel="00000000" w:rsidP="00000000" w:rsidRDefault="00000000" w:rsidRPr="00000000" w14:paraId="0000036A">
      <w:pPr>
        <w:widowControl w:val="0"/>
        <w:jc w:val="center"/>
        <w:rPr>
          <w:color w:val="ff0000"/>
          <w:sz w:val="22"/>
          <w:szCs w:val="22"/>
        </w:rPr>
      </w:pPr>
      <w:r w:rsidDel="00000000" w:rsidR="00000000" w:rsidRPr="00000000">
        <w:rPr>
          <w:rFonts w:ascii="Arial" w:cs="Arial" w:eastAsia="Arial" w:hAnsi="Arial"/>
          <w:sz w:val="24"/>
          <w:szCs w:val="24"/>
        </w:rPr>
        <mc:AlternateContent>
          <mc:Choice Requires="wpg">
            <w:drawing>
              <wp:inline distB="0" distT="0" distL="114300" distR="114300">
                <wp:extent cx="5080000" cy="2978785"/>
                <wp:effectExtent b="0" l="0" r="0" t="0"/>
                <wp:docPr id="2" name=""/>
                <a:graphic>
                  <a:graphicData uri="http://schemas.microsoft.com/office/word/2010/wordprocessingGroup">
                    <wpg:wgp>
                      <wpg:cNvGrpSpPr/>
                      <wpg:grpSpPr>
                        <a:xfrm>
                          <a:off x="2806000" y="2290600"/>
                          <a:ext cx="5080000" cy="2978785"/>
                          <a:chOff x="2806000" y="2290600"/>
                          <a:chExt cx="5080000" cy="2978800"/>
                        </a:xfrm>
                      </wpg:grpSpPr>
                      <wpg:grpSp>
                        <wpg:cNvGrpSpPr/>
                        <wpg:grpSpPr>
                          <a:xfrm>
                            <a:off x="2806000" y="2290608"/>
                            <a:ext cx="5080000" cy="2978775"/>
                            <a:chOff x="0" y="0"/>
                            <a:chExt cx="5080000" cy="2978775"/>
                          </a:xfrm>
                        </wpg:grpSpPr>
                        <wps:wsp>
                          <wps:cNvSpPr/>
                          <wps:cNvPr id="4" name="Shape 4"/>
                          <wps:spPr>
                            <a:xfrm>
                              <a:off x="0" y="0"/>
                              <a:ext cx="5080000" cy="29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3000" y="2256718"/>
                              <a:ext cx="1579300" cy="39269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Perceived stress</w:t>
                                </w:r>
                              </w:p>
                            </w:txbxContent>
                          </wps:txbx>
                          <wps:bodyPr anchorCtr="0" anchor="t" bIns="38100" lIns="88900" spcFirstLastPara="1" rIns="88900" wrap="square" tIns="38100">
                            <a:noAutofit/>
                          </wps:bodyPr>
                        </wps:wsp>
                        <wps:wsp>
                          <wps:cNvSpPr/>
                          <wps:cNvPr id="6" name="Shape 6"/>
                          <wps:spPr>
                            <a:xfrm>
                              <a:off x="1851000" y="1356711"/>
                              <a:ext cx="1207700" cy="499314"/>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Binge-watching</w:t>
                                </w:r>
                              </w:p>
                            </w:txbxContent>
                          </wps:txbx>
                          <wps:bodyPr anchorCtr="0" anchor="t" bIns="38100" lIns="88900" spcFirstLastPara="1" rIns="88900" wrap="square" tIns="38100">
                            <a:noAutofit/>
                          </wps:bodyPr>
                        </wps:wsp>
                        <wps:wsp>
                          <wps:cNvSpPr/>
                          <wps:cNvPr id="7" name="Shape 7"/>
                          <wps:spPr>
                            <a:xfrm flipH="1" rot="10800000">
                              <a:off x="885000" y="1534452"/>
                              <a:ext cx="966000" cy="722266"/>
                            </a:xfrm>
                            <a:prstGeom prst="straightConnector1">
                              <a:avLst/>
                            </a:prstGeom>
                            <a:solidFill>
                              <a:srgbClr val="FFFFFF"/>
                            </a:solidFill>
                            <a:ln cap="flat" cmpd="sng" w="1905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8" name="Shape 8"/>
                          <wps:spPr>
                            <a:xfrm>
                              <a:off x="3547100" y="2260619"/>
                              <a:ext cx="1214700" cy="388789"/>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Loneliness</w:t>
                                </w:r>
                              </w:p>
                            </w:txbxContent>
                          </wps:txbx>
                          <wps:bodyPr anchorCtr="0" anchor="t" bIns="38100" lIns="88900" spcFirstLastPara="1" rIns="88900" wrap="square" tIns="38100">
                            <a:noAutofit/>
                          </wps:bodyPr>
                        </wps:wsp>
                        <wps:wsp>
                          <wps:cNvSpPr/>
                          <wps:cNvPr id="9" name="Shape 9"/>
                          <wps:spPr>
                            <a:xfrm>
                              <a:off x="3058700" y="1534452"/>
                              <a:ext cx="1049700" cy="698960"/>
                            </a:xfrm>
                            <a:prstGeom prst="straightConnector1">
                              <a:avLst/>
                            </a:prstGeom>
                            <a:solidFill>
                              <a:srgbClr val="FFFFFF"/>
                            </a:solidFill>
                            <a:ln cap="flat" cmpd="sng" w="19050">
                              <a:solidFill>
                                <a:srgbClr val="000000"/>
                              </a:solidFill>
                              <a:prstDash val="solid"/>
                              <a:miter lim="8000"/>
                              <a:headEnd len="med" w="med" type="triangle"/>
                              <a:tailEnd len="sm" w="sm" type="none"/>
                            </a:ln>
                          </wps:spPr>
                          <wps:bodyPr anchorCtr="0" anchor="ctr" bIns="91425" lIns="91425" spcFirstLastPara="1" rIns="91425" wrap="square" tIns="91425">
                            <a:noAutofit/>
                          </wps:bodyPr>
                        </wps:wsp>
                        <wps:wsp>
                          <wps:cNvSpPr/>
                          <wps:cNvPr id="10" name="Shape 10"/>
                          <wps:spPr>
                            <a:xfrm>
                              <a:off x="272400" y="1541554"/>
                              <a:ext cx="1485900" cy="31447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0"/>
                                    <w:vertAlign w:val="baseline"/>
                                  </w:rPr>
                                  <w:t xml:space="preserve">B</w:t>
                                </w:r>
                                <w:r w:rsidDel="00000000" w:rsidR="00000000" w:rsidRPr="00000000">
                                  <w:rPr>
                                    <w:rFonts w:ascii="Book Antiqua" w:cs="Book Antiqua" w:eastAsia="Book Antiqua" w:hAnsi="Book Antiqua"/>
                                    <w:b w:val="0"/>
                                    <w:i w:val="0"/>
                                    <w:smallCaps w:val="0"/>
                                    <w:strike w:val="0"/>
                                    <w:color w:val="000000"/>
                                    <w:sz w:val="20"/>
                                    <w:vertAlign w:val="baseline"/>
                                  </w:rPr>
                                  <w:t xml:space="preserve"> = -.07, </w:t>
                                </w:r>
                                <w:r w:rsidDel="00000000" w:rsidR="00000000" w:rsidRPr="00000000">
                                  <w:rPr>
                                    <w:rFonts w:ascii="Book Antiqua" w:cs="Book Antiqua" w:eastAsia="Book Antiqua" w:hAnsi="Book Antiqua"/>
                                    <w:b w:val="0"/>
                                    <w:i w:val="1"/>
                                    <w:smallCaps w:val="0"/>
                                    <w:strike w:val="0"/>
                                    <w:color w:val="000000"/>
                                    <w:sz w:val="20"/>
                                    <w:vertAlign w:val="baseline"/>
                                  </w:rPr>
                                  <w:t xml:space="preserve">p</w:t>
                                </w:r>
                                <w:r w:rsidDel="00000000" w:rsidR="00000000" w:rsidRPr="00000000">
                                  <w:rPr>
                                    <w:rFonts w:ascii="Book Antiqua" w:cs="Book Antiqua" w:eastAsia="Book Antiqua" w:hAnsi="Book Antiqua"/>
                                    <w:b w:val="0"/>
                                    <w:i w:val="0"/>
                                    <w:smallCaps w:val="0"/>
                                    <w:strike w:val="0"/>
                                    <w:color w:val="000000"/>
                                    <w:sz w:val="20"/>
                                    <w:vertAlign w:val="baseline"/>
                                  </w:rPr>
                                  <w:t xml:space="preserve"> = .72</w:t>
                                </w:r>
                              </w:p>
                            </w:txbxContent>
                          </wps:txbx>
                          <wps:bodyPr anchorCtr="0" anchor="t" bIns="38100" lIns="88900" spcFirstLastPara="1" rIns="88900" wrap="square" tIns="38100">
                            <a:noAutofit/>
                          </wps:bodyPr>
                        </wps:wsp>
                        <wps:wsp>
                          <wps:cNvSpPr/>
                          <wps:cNvPr id="11" name="Shape 11"/>
                          <wps:spPr>
                            <a:xfrm>
                              <a:off x="3474000" y="1491943"/>
                              <a:ext cx="1409100" cy="304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0"/>
                                    <w:vertAlign w:val="baseline"/>
                                  </w:rPr>
                                  <w:t xml:space="preserve">B</w:t>
                                </w:r>
                                <w:r w:rsidDel="00000000" w:rsidR="00000000" w:rsidRPr="00000000">
                                  <w:rPr>
                                    <w:rFonts w:ascii="Book Antiqua" w:cs="Book Antiqua" w:eastAsia="Book Antiqua" w:hAnsi="Book Antiqua"/>
                                    <w:b w:val="0"/>
                                    <w:i w:val="0"/>
                                    <w:smallCaps w:val="0"/>
                                    <w:strike w:val="0"/>
                                    <w:color w:val="000000"/>
                                    <w:sz w:val="20"/>
                                    <w:vertAlign w:val="baseline"/>
                                  </w:rPr>
                                  <w:t xml:space="preserve"> = .15, </w:t>
                                </w:r>
                                <w:r w:rsidDel="00000000" w:rsidR="00000000" w:rsidRPr="00000000">
                                  <w:rPr>
                                    <w:rFonts w:ascii="Book Antiqua" w:cs="Book Antiqua" w:eastAsia="Book Antiqua" w:hAnsi="Book Antiqua"/>
                                    <w:b w:val="0"/>
                                    <w:i w:val="1"/>
                                    <w:smallCaps w:val="0"/>
                                    <w:strike w:val="0"/>
                                    <w:color w:val="000000"/>
                                    <w:sz w:val="20"/>
                                    <w:vertAlign w:val="baseline"/>
                                  </w:rPr>
                                  <w:t xml:space="preserve">p</w:t>
                                </w:r>
                                <w:r w:rsidDel="00000000" w:rsidR="00000000" w:rsidRPr="00000000">
                                  <w:rPr>
                                    <w:rFonts w:ascii="Book Antiqua" w:cs="Book Antiqua" w:eastAsia="Book Antiqua" w:hAnsi="Book Antiqua"/>
                                    <w:b w:val="0"/>
                                    <w:i w:val="0"/>
                                    <w:smallCaps w:val="0"/>
                                    <w:strike w:val="0"/>
                                    <w:color w:val="000000"/>
                                    <w:sz w:val="20"/>
                                    <w:vertAlign w:val="baseline"/>
                                  </w:rPr>
                                  <w:t xml:space="preserve"> = .23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38100" lIns="88900" spcFirstLastPara="1" rIns="88900" wrap="square" tIns="38100">
                            <a:noAutofit/>
                          </wps:bodyPr>
                        </wps:wsp>
                        <wps:wsp>
                          <wps:cNvSpPr/>
                          <wps:cNvPr id="12" name="Shape 12"/>
                          <wps:spPr>
                            <a:xfrm>
                              <a:off x="1454100" y="66515"/>
                              <a:ext cx="2019900" cy="385988"/>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0"/>
                                    <w:vertAlign w:val="baseline"/>
                                  </w:rPr>
                                  <w:t xml:space="preserve">Social interaction anxiety</w:t>
                                </w:r>
                              </w:p>
                            </w:txbxContent>
                          </wps:txbx>
                          <wps:bodyPr anchorCtr="0" anchor="t" bIns="38100" lIns="88900" spcFirstLastPara="1" rIns="88900" wrap="square" tIns="38100">
                            <a:noAutofit/>
                          </wps:bodyPr>
                        </wps:wsp>
                        <wps:wsp>
                          <wps:cNvSpPr/>
                          <wps:cNvPr id="13" name="Shape 13"/>
                          <wps:spPr>
                            <a:xfrm>
                              <a:off x="2444700" y="452504"/>
                              <a:ext cx="0" cy="904207"/>
                            </a:xfrm>
                            <a:custGeom>
                              <a:rect b="b" l="l" r="r" t="t"/>
                              <a:pathLst>
                                <a:path extrusionOk="0" h="904207" w="1">
                                  <a:moveTo>
                                    <a:pt x="0" y="0"/>
                                  </a:moveTo>
                                  <a:lnTo>
                                    <a:pt x="0" y="904207"/>
                                  </a:lnTo>
                                </a:path>
                              </a:pathLst>
                            </a:custGeom>
                            <a:solidFill>
                              <a:srgbClr val="FFFFFF"/>
                            </a:solid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4" name="Shape 14"/>
                          <wps:spPr>
                            <a:xfrm>
                              <a:off x="2478700" y="634745"/>
                              <a:ext cx="1408999" cy="3048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0"/>
                                    <w:vertAlign w:val="baseline"/>
                                  </w:rPr>
                                  <w:t xml:space="preserve">B</w:t>
                                </w:r>
                                <w:r w:rsidDel="00000000" w:rsidR="00000000" w:rsidRPr="00000000">
                                  <w:rPr>
                                    <w:rFonts w:ascii="Book Antiqua" w:cs="Book Antiqua" w:eastAsia="Book Antiqua" w:hAnsi="Book Antiqua"/>
                                    <w:b w:val="0"/>
                                    <w:i w:val="0"/>
                                    <w:smallCaps w:val="0"/>
                                    <w:strike w:val="0"/>
                                    <w:color w:val="000000"/>
                                    <w:sz w:val="20"/>
                                    <w:vertAlign w:val="baseline"/>
                                  </w:rPr>
                                  <w:t xml:space="preserve"> = .32,</w:t>
                                </w:r>
                                <w:r w:rsidDel="00000000" w:rsidR="00000000" w:rsidRPr="00000000">
                                  <w:rPr>
                                    <w:rFonts w:ascii="Book Antiqua" w:cs="Book Antiqua" w:eastAsia="Book Antiqua" w:hAnsi="Book Antiqua"/>
                                    <w:b w:val="0"/>
                                    <w:i w:val="1"/>
                                    <w:smallCaps w:val="0"/>
                                    <w:strike w:val="0"/>
                                    <w:color w:val="000000"/>
                                    <w:sz w:val="20"/>
                                    <w:vertAlign w:val="baseline"/>
                                  </w:rPr>
                                  <w:t xml:space="preserve"> p</w:t>
                                </w:r>
                                <w:r w:rsidDel="00000000" w:rsidR="00000000" w:rsidRPr="00000000">
                                  <w:rPr>
                                    <w:rFonts w:ascii="Book Antiqua" w:cs="Book Antiqua" w:eastAsia="Book Antiqua" w:hAnsi="Book Antiqua"/>
                                    <w:b w:val="0"/>
                                    <w:i w:val="0"/>
                                    <w:smallCaps w:val="0"/>
                                    <w:strike w:val="0"/>
                                    <w:color w:val="000000"/>
                                    <w:sz w:val="20"/>
                                    <w:vertAlign w:val="baseline"/>
                                  </w:rPr>
                                  <w:t xml:space="preserve"> &lt; .001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5080000" cy="2978785"/>
                <wp:effectExtent b="0" l="0" r="0" t="0"/>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080000" cy="297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6B">
      <w:pPr>
        <w:widowControl w:val="0"/>
        <w:jc w:val="center"/>
        <w:rPr>
          <w:color w:val="ff0000"/>
          <w:sz w:val="22"/>
          <w:szCs w:val="22"/>
        </w:rPr>
      </w:pPr>
      <w:r w:rsidDel="00000000" w:rsidR="00000000" w:rsidRPr="00000000">
        <w:rPr>
          <w:rtl w:val="0"/>
        </w:rPr>
      </w:r>
    </w:p>
    <w:p w:rsidR="00000000" w:rsidDel="00000000" w:rsidP="00000000" w:rsidRDefault="00000000" w:rsidRPr="00000000" w14:paraId="0000036C">
      <w:pPr>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36D">
      <w:pPr>
        <w:jc w:val="center"/>
        <w:rPr>
          <w:sz w:val="22"/>
          <w:szCs w:val="22"/>
        </w:rPr>
      </w:pPr>
      <w:r w:rsidDel="00000000" w:rsidR="00000000" w:rsidRPr="00000000">
        <w:rPr>
          <w:rtl w:val="0"/>
        </w:rPr>
      </w:r>
    </w:p>
    <w:p w:rsidR="00000000" w:rsidDel="00000000" w:rsidP="00000000" w:rsidRDefault="00000000" w:rsidRPr="00000000" w14:paraId="0000036E">
      <w:pPr>
        <w:jc w:val="both"/>
        <w:rPr>
          <w:sz w:val="22"/>
          <w:szCs w:val="22"/>
        </w:rPr>
      </w:pPr>
      <w:r w:rsidDel="00000000" w:rsidR="00000000" w:rsidRPr="00000000">
        <w:rPr>
          <w:sz w:val="22"/>
          <w:szCs w:val="22"/>
          <w:rtl w:val="0"/>
        </w:rPr>
        <w:t xml:space="preserve">This study confirms that binge-watching is a growing social phenomenon that is tantamount to almost a culture practised among undergraduate university students in Malaysia. Specifically, nearly 80% of the participants reported moderate to high binge-watching rates, demonstrating the students' appetite for watching television series and over-the-top media content. This percentage is not uncommon, as studies have shown that young people aged 18–39 years account for 70% of binge-watchers in the general population (Starosta &amp; Izydorczyk, 2020). However, what is more worrying is that the majority of the participants are also moderately stressed, highly anxious about social interactions, and feel lonely most of the time.</w:t>
      </w:r>
    </w:p>
    <w:p w:rsidR="00000000" w:rsidDel="00000000" w:rsidP="00000000" w:rsidRDefault="00000000" w:rsidRPr="00000000" w14:paraId="0000036F">
      <w:pPr>
        <w:jc w:val="both"/>
        <w:rPr>
          <w:sz w:val="22"/>
          <w:szCs w:val="22"/>
        </w:rPr>
      </w:pPr>
      <w:r w:rsidDel="00000000" w:rsidR="00000000" w:rsidRPr="00000000">
        <w:rPr>
          <w:rtl w:val="0"/>
        </w:rPr>
      </w:r>
    </w:p>
    <w:p w:rsidR="00000000" w:rsidDel="00000000" w:rsidP="00000000" w:rsidRDefault="00000000" w:rsidRPr="00000000" w14:paraId="00000370">
      <w:pPr>
        <w:ind w:firstLine="720"/>
        <w:jc w:val="both"/>
        <w:rPr>
          <w:sz w:val="22"/>
          <w:szCs w:val="22"/>
        </w:rPr>
      </w:pPr>
      <w:r w:rsidDel="00000000" w:rsidR="00000000" w:rsidRPr="00000000">
        <w:rPr>
          <w:sz w:val="22"/>
          <w:szCs w:val="22"/>
          <w:rtl w:val="0"/>
        </w:rPr>
        <w:t xml:space="preserve">Female participants have higher binge-watching scores, consistent with past studies, such as those by Pittman and Sheehan (2015) and Spruance et al. (2017), that have found a positive correlation between the female gender and binge-watching frequency and intensity. We could not perform the respective significance test because there were comparatively fewer male participants than females who took part in the study. Although the survey was not advertised in a way that targeted female participants in particular, it may be expected that the topic of binge-watching appeals more to females than males. Studies by Merrill Jr. and Rubenking (2019) and Starosta and Izydorczyk (2020) find that gender plays a significant role in making females binge-watch more often than males. Another explanation could be that females are more likely to respond to surveys, contributing to their higher sample size in this study. Gender differences in research participation have been well documented in the literature, with females' educational expansion, personality traits, gender roles, and norms around helping to be the most plausible reasons for a higher propensity towards research participation (Becker, 2022; Green, 1996). Therefore, we remain cautious in interpreting this finding and suggest that researchers achieve a more equal male-to-female ratio in their studies.</w:t>
      </w:r>
    </w:p>
    <w:p w:rsidR="00000000" w:rsidDel="00000000" w:rsidP="00000000" w:rsidRDefault="00000000" w:rsidRPr="00000000" w14:paraId="00000371">
      <w:pPr>
        <w:ind w:firstLine="720"/>
        <w:jc w:val="both"/>
        <w:rPr>
          <w:sz w:val="22"/>
          <w:szCs w:val="22"/>
        </w:rPr>
      </w:pPr>
      <w:r w:rsidDel="00000000" w:rsidR="00000000" w:rsidRPr="00000000">
        <w:rPr>
          <w:rtl w:val="0"/>
        </w:rPr>
      </w:r>
    </w:p>
    <w:p w:rsidR="00000000" w:rsidDel="00000000" w:rsidP="00000000" w:rsidRDefault="00000000" w:rsidRPr="00000000" w14:paraId="00000372">
      <w:pPr>
        <w:ind w:firstLine="720"/>
        <w:jc w:val="both"/>
        <w:rPr>
          <w:sz w:val="22"/>
          <w:szCs w:val="22"/>
        </w:rPr>
      </w:pPr>
      <w:r w:rsidDel="00000000" w:rsidR="00000000" w:rsidRPr="00000000">
        <w:rPr>
          <w:sz w:val="22"/>
          <w:szCs w:val="22"/>
          <w:rtl w:val="0"/>
        </w:rPr>
        <w:t xml:space="preserve">Although having more or less similar mean scores, years of the study appear to relate to a greater tendency to binge-watch, with final-year students being more likely to do so. One plausible explanation for this phenomenon may be attributed to academic or performance stressors, time management, personal problems, or the prospect of graduating, which contribute to stress among final-year students (Lavoie-Tremblay et al., 2022; Zumrah &amp; Mohd Nor, 2015). It is likely that under stress, the students just want to binge-watch their favourite shows.</w:t>
      </w:r>
    </w:p>
    <w:p w:rsidR="00000000" w:rsidDel="00000000" w:rsidP="00000000" w:rsidRDefault="00000000" w:rsidRPr="00000000" w14:paraId="00000373">
      <w:pPr>
        <w:ind w:firstLine="720"/>
        <w:jc w:val="both"/>
        <w:rPr>
          <w:sz w:val="22"/>
          <w:szCs w:val="22"/>
        </w:rPr>
      </w:pPr>
      <w:r w:rsidDel="00000000" w:rsidR="00000000" w:rsidRPr="00000000">
        <w:rPr>
          <w:rtl w:val="0"/>
        </w:rPr>
      </w:r>
    </w:p>
    <w:p w:rsidR="00000000" w:rsidDel="00000000" w:rsidP="00000000" w:rsidRDefault="00000000" w:rsidRPr="00000000" w14:paraId="00000374">
      <w:pPr>
        <w:ind w:firstLine="720"/>
        <w:jc w:val="both"/>
        <w:rPr>
          <w:sz w:val="22"/>
          <w:szCs w:val="22"/>
        </w:rPr>
      </w:pPr>
      <w:r w:rsidDel="00000000" w:rsidR="00000000" w:rsidRPr="00000000">
        <w:rPr>
          <w:sz w:val="22"/>
          <w:szCs w:val="22"/>
          <w:rtl w:val="0"/>
        </w:rPr>
        <w:t xml:space="preserve">Our results reveal that social interaction anxiety contributes significantly to explaining the extent of binge-watching behaviour. Two contributing factors may underlie this phenomenon. First, studies by Starosta et al. (2021) as well as Sun and Chang (2021) have shown that individuals with high social interaction anxiety struggle to regulate distressing emotions; therefore, they tend to find activities that offer them pleasure and satisfaction that fulfil their emotional needs. This is where the usage of media plays a critical role in assisting people to escape from anxiety during social interaction. More specifically, by engaging in binge-watching, some of the individual's desired needs are satisfied. These needs could be affective needs, where binge-watching is used to seek pleasure to regulate negative emotions, or tension-released needs, where people binge-watch to release anxiety about social interaction. As a result, the enjoyment and pleasure experienced after binge-watching make people want to binge-watch more (Merrill Jr. &amp; Rubenking, 2019), implying that binge-watchers obtain the gratification needed to regulate positive emotions in tandem with the Uses and Gratification Theory.</w:t>
      </w:r>
    </w:p>
    <w:p w:rsidR="00000000" w:rsidDel="00000000" w:rsidP="00000000" w:rsidRDefault="00000000" w:rsidRPr="00000000" w14:paraId="00000375">
      <w:pPr>
        <w:ind w:firstLine="720"/>
        <w:jc w:val="both"/>
        <w:rPr>
          <w:sz w:val="22"/>
          <w:szCs w:val="22"/>
        </w:rPr>
      </w:pPr>
      <w:r w:rsidDel="00000000" w:rsidR="00000000" w:rsidRPr="00000000">
        <w:rPr>
          <w:rtl w:val="0"/>
        </w:rPr>
      </w:r>
    </w:p>
    <w:p w:rsidR="00000000" w:rsidDel="00000000" w:rsidP="00000000" w:rsidRDefault="00000000" w:rsidRPr="00000000" w14:paraId="00000376">
      <w:pPr>
        <w:ind w:firstLine="720"/>
        <w:jc w:val="both"/>
        <w:rPr>
          <w:sz w:val="22"/>
          <w:szCs w:val="22"/>
        </w:rPr>
      </w:pPr>
      <w:r w:rsidDel="00000000" w:rsidR="00000000" w:rsidRPr="00000000">
        <w:rPr>
          <w:sz w:val="22"/>
          <w:szCs w:val="22"/>
          <w:rtl w:val="0"/>
        </w:rPr>
        <w:t xml:space="preserve">Second, highly anxious students may binge-watch out of a desire to connect. The need for social inclusion draws people to be included in any form of relationship. To be socially included, people seek to establish relationships, whether physical or virtual. People with social interaction anxiety prefer to seek virtual interaction as the interactive platforms do not require them to be physically present or be negatively evaluated (Hutchins et al., 2021). For this reason, binge-watching is used to establish relationships as a substitute for the absence of physical relationships. The parasocial relationship with fictional characters is strong among binge-watchers, especially when they watch their favourite shows (Erickson et al., 2019). The engagement in watching several episodes provides a sense of connectedness, enabling viewers to establish virtual relationships. In short, the consequences of social interaction anxiety in participants may represent risk factors for the onset of their binge-watching symptoms and motivations. At the same time, social interaction anxiety may worsen binge-watching behaviour, which, in turn, will negatively impact interpersonal and emotional regulation.</w:t>
      </w:r>
    </w:p>
    <w:p w:rsidR="00000000" w:rsidDel="00000000" w:rsidP="00000000" w:rsidRDefault="00000000" w:rsidRPr="00000000" w14:paraId="00000377">
      <w:pPr>
        <w:ind w:firstLine="720"/>
        <w:jc w:val="both"/>
        <w:rPr>
          <w:sz w:val="22"/>
          <w:szCs w:val="22"/>
        </w:rPr>
      </w:pPr>
      <w:r w:rsidDel="00000000" w:rsidR="00000000" w:rsidRPr="00000000">
        <w:rPr>
          <w:rtl w:val="0"/>
        </w:rPr>
      </w:r>
    </w:p>
    <w:p w:rsidR="00000000" w:rsidDel="00000000" w:rsidP="00000000" w:rsidRDefault="00000000" w:rsidRPr="00000000" w14:paraId="00000378">
      <w:pPr>
        <w:ind w:firstLine="720"/>
        <w:jc w:val="both"/>
        <w:rPr>
          <w:sz w:val="22"/>
          <w:szCs w:val="22"/>
        </w:rPr>
      </w:pPr>
      <w:r w:rsidDel="00000000" w:rsidR="00000000" w:rsidRPr="00000000">
        <w:rPr>
          <w:sz w:val="22"/>
          <w:szCs w:val="22"/>
          <w:rtl w:val="0"/>
        </w:rPr>
        <w:t xml:space="preserve">Our results also yield evidence that stress does not significantly predict binge-watching, indicating that binge-watching is likely not the only thing that university students spend their screen time on. Previous studies have reported that social media platforms, such as Instagram and Facebook, offer a great interactive medium for people to communicate, allowing people to receive the reassurance needed (Revathy et al., 2018), thus reducing stress (Coates et al., 2019). Furthermore, some students may not view stress as a negative event. Instead, they view it as an experience that is part of their journey as a university student, indicating there are valuable lessons to be learned from stressful events. The differences in how people adapt and perceive stress influence how they manage their stress levels, which could explain why some cope differently.</w:t>
      </w:r>
    </w:p>
    <w:p w:rsidR="00000000" w:rsidDel="00000000" w:rsidP="00000000" w:rsidRDefault="00000000" w:rsidRPr="00000000" w14:paraId="00000379">
      <w:pPr>
        <w:ind w:firstLine="720"/>
        <w:jc w:val="both"/>
        <w:rPr>
          <w:sz w:val="22"/>
          <w:szCs w:val="22"/>
        </w:rPr>
      </w:pPr>
      <w:r w:rsidDel="00000000" w:rsidR="00000000" w:rsidRPr="00000000">
        <w:rPr>
          <w:rtl w:val="0"/>
        </w:rPr>
      </w:r>
    </w:p>
    <w:p w:rsidR="00000000" w:rsidDel="00000000" w:rsidP="00000000" w:rsidRDefault="00000000" w:rsidRPr="00000000" w14:paraId="0000037A">
      <w:pPr>
        <w:ind w:firstLine="720"/>
        <w:jc w:val="both"/>
        <w:rPr>
          <w:sz w:val="22"/>
          <w:szCs w:val="22"/>
        </w:rPr>
      </w:pPr>
      <w:r w:rsidDel="00000000" w:rsidR="00000000" w:rsidRPr="00000000">
        <w:rPr>
          <w:sz w:val="22"/>
          <w:szCs w:val="22"/>
          <w:rtl w:val="0"/>
        </w:rPr>
        <w:t xml:space="preserve">Even though loneliness is highly prevalent in our sample, it did not significantly predict binge-watching. This finding is interesting, considering that previous studies (e.g., Gangadharbatla et al., 2019; Raza et al., 2021) have reported a significant relationship between binge-watching and isolation or reduced socialisation. Nevertheless, our result may be best explained by the fact that the participants may have other motives for binge-watching than loneliness - in this case, social interaction anxiety being a more prominent factor. Similar to the association between stress and binge-watching, people utilise social media to escape feelings of loneliness. For instance, using Instagram and Snapchat can enhance social connectedness and create a social presence, thereby reducing loneliness (Pittman &amp; Reich, 2016). Notably, social media usage in Malaysia has increased to approximately 28 million users (Mentek, 2021), reflecting that social media users are expanding and elucidating that binge-watching is not the only media chosen to mitigate loneliness.</w:t>
      </w:r>
    </w:p>
    <w:p w:rsidR="00000000" w:rsidDel="00000000" w:rsidP="00000000" w:rsidRDefault="00000000" w:rsidRPr="00000000" w14:paraId="0000037B">
      <w:pPr>
        <w:ind w:firstLine="720"/>
        <w:jc w:val="both"/>
        <w:rPr>
          <w:sz w:val="22"/>
          <w:szCs w:val="22"/>
        </w:rPr>
      </w:pPr>
      <w:r w:rsidDel="00000000" w:rsidR="00000000" w:rsidRPr="00000000">
        <w:rPr>
          <w:rtl w:val="0"/>
        </w:rPr>
      </w:r>
    </w:p>
    <w:p w:rsidR="00000000" w:rsidDel="00000000" w:rsidP="00000000" w:rsidRDefault="00000000" w:rsidRPr="00000000" w14:paraId="0000037C">
      <w:pPr>
        <w:jc w:val="both"/>
        <w:rPr>
          <w:b w:val="1"/>
          <w:sz w:val="24"/>
          <w:szCs w:val="24"/>
        </w:rPr>
      </w:pPr>
      <w:r w:rsidDel="00000000" w:rsidR="00000000" w:rsidRPr="00000000">
        <w:rPr>
          <w:rtl w:val="0"/>
        </w:rPr>
      </w:r>
    </w:p>
    <w:p w:rsidR="00000000" w:rsidDel="00000000" w:rsidP="00000000" w:rsidRDefault="00000000" w:rsidRPr="00000000" w14:paraId="0000037D">
      <w:pPr>
        <w:jc w:val="both"/>
        <w:rPr>
          <w:b w:val="1"/>
          <w:sz w:val="24"/>
          <w:szCs w:val="24"/>
        </w:rPr>
      </w:pPr>
      <w:r w:rsidDel="00000000" w:rsidR="00000000" w:rsidRPr="00000000">
        <w:rPr>
          <w:b w:val="1"/>
          <w:sz w:val="24"/>
          <w:szCs w:val="24"/>
          <w:rtl w:val="0"/>
        </w:rPr>
        <w:t xml:space="preserve">Implications, Limitations, and Future Directions</w:t>
      </w:r>
    </w:p>
    <w:p w:rsidR="00000000" w:rsidDel="00000000" w:rsidP="00000000" w:rsidRDefault="00000000" w:rsidRPr="00000000" w14:paraId="0000037E">
      <w:pPr>
        <w:jc w:val="both"/>
        <w:rPr>
          <w:sz w:val="22"/>
          <w:szCs w:val="22"/>
        </w:rPr>
      </w:pPr>
      <w:r w:rsidDel="00000000" w:rsidR="00000000" w:rsidRPr="00000000">
        <w:rPr>
          <w:rtl w:val="0"/>
        </w:rPr>
      </w:r>
    </w:p>
    <w:p w:rsidR="00000000" w:rsidDel="00000000" w:rsidP="00000000" w:rsidRDefault="00000000" w:rsidRPr="00000000" w14:paraId="0000037F">
      <w:pPr>
        <w:jc w:val="both"/>
        <w:rPr>
          <w:sz w:val="22"/>
          <w:szCs w:val="22"/>
        </w:rPr>
      </w:pPr>
      <w:r w:rsidDel="00000000" w:rsidR="00000000" w:rsidRPr="00000000">
        <w:rPr>
          <w:sz w:val="22"/>
          <w:szCs w:val="22"/>
          <w:rtl w:val="0"/>
        </w:rPr>
        <w:t xml:space="preserve">From a theoretical standpoint, the present study's findings support the Uses and Gratification Theory (Katz et al., 1973), specifically on how social interaction anxiety leads to binge-watching behaviour. In particular, we postulate that binge-watching is practised to obtain positive gratification as well as to satisfy affective needs, social interaction and integration needs, and tension release needs. This finding is essential since very little research has examined the relationship between social interaction anxiety and binge-watching, especially in Malaysia.</w:t>
      </w:r>
    </w:p>
    <w:p w:rsidR="00000000" w:rsidDel="00000000" w:rsidP="00000000" w:rsidRDefault="00000000" w:rsidRPr="00000000" w14:paraId="00000380">
      <w:pPr>
        <w:jc w:val="both"/>
        <w:rPr>
          <w:sz w:val="22"/>
          <w:szCs w:val="22"/>
        </w:rPr>
      </w:pPr>
      <w:r w:rsidDel="00000000" w:rsidR="00000000" w:rsidRPr="00000000">
        <w:rPr>
          <w:rtl w:val="0"/>
        </w:rPr>
      </w:r>
    </w:p>
    <w:p w:rsidR="00000000" w:rsidDel="00000000" w:rsidP="00000000" w:rsidRDefault="00000000" w:rsidRPr="00000000" w14:paraId="00000381">
      <w:pPr>
        <w:ind w:firstLine="720"/>
        <w:jc w:val="both"/>
        <w:rPr>
          <w:sz w:val="22"/>
          <w:szCs w:val="22"/>
        </w:rPr>
      </w:pPr>
      <w:r w:rsidDel="00000000" w:rsidR="00000000" w:rsidRPr="00000000">
        <w:rPr>
          <w:sz w:val="22"/>
          <w:szCs w:val="22"/>
          <w:rtl w:val="0"/>
        </w:rPr>
        <w:t xml:space="preserve">This study also contributes by exploring the pattern of binge-watching among university students, including what devices are used to binge-watch and what time they prefer to binge-watch. Such information is beneficial for determining the unhealthy binge-watching pattern and, more importantly, for developing intervention programmes to address excessive consumption of television shows and usage of the Internet. Using the results from this study, higher learning institutions may consider designing and implementing interventions that address social interaction needs. These interventions may include cognitive behavioural therapy, acceptance and commitment therapy, digital or virtual therapy, and other technology-assisted modalities (Wolitzky-Taylor &amp; LeBeau, 2023). Service providers and over-the-top industries, too, could benefit from the findings of this study to better understand binge-watchers and binge-watching behaviours and provide insights into developing or providing content that university students could resonate with.</w:t>
      </w:r>
    </w:p>
    <w:p w:rsidR="00000000" w:rsidDel="00000000" w:rsidP="00000000" w:rsidRDefault="00000000" w:rsidRPr="00000000" w14:paraId="00000382">
      <w:pPr>
        <w:ind w:firstLine="72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383">
      <w:pPr>
        <w:ind w:firstLine="720"/>
        <w:jc w:val="both"/>
        <w:rPr>
          <w:sz w:val="22"/>
          <w:szCs w:val="22"/>
        </w:rPr>
      </w:pPr>
      <w:r w:rsidDel="00000000" w:rsidR="00000000" w:rsidRPr="00000000">
        <w:rPr>
          <w:sz w:val="22"/>
          <w:szCs w:val="22"/>
          <w:rtl w:val="0"/>
        </w:rPr>
        <w:t xml:space="preserve">As with all cross-sectional research, this study has three limitations: (i) its inability to draw any causal relationship between the variables studied, (ii) its self-administration nature, which may have introduced a relative bias, and (iii) its restrictive inclusion criteria (i.e., undergraduate students between 18 to 25 years old and Malaysian). Therefore, longitudinal or experimental studies using a combination of objective and subjective measures on more diverse populations deserve to be considered in future studies to produce better insights into binge-watching behaviour and to allow generalisation of the results to other populations.</w:t>
      </w:r>
    </w:p>
    <w:p w:rsidR="00000000" w:rsidDel="00000000" w:rsidP="00000000" w:rsidRDefault="00000000" w:rsidRPr="00000000" w14:paraId="00000384">
      <w:pPr>
        <w:ind w:firstLine="720"/>
        <w:jc w:val="both"/>
        <w:rPr>
          <w:sz w:val="22"/>
          <w:szCs w:val="22"/>
        </w:rPr>
      </w:pPr>
      <w:r w:rsidDel="00000000" w:rsidR="00000000" w:rsidRPr="00000000">
        <w:rPr>
          <w:rtl w:val="0"/>
        </w:rPr>
      </w:r>
    </w:p>
    <w:p w:rsidR="00000000" w:rsidDel="00000000" w:rsidP="00000000" w:rsidRDefault="00000000" w:rsidRPr="00000000" w14:paraId="00000385">
      <w:pPr>
        <w:ind w:firstLine="720"/>
        <w:jc w:val="both"/>
        <w:rPr>
          <w:sz w:val="22"/>
          <w:szCs w:val="22"/>
        </w:rPr>
      </w:pPr>
      <w:r w:rsidDel="00000000" w:rsidR="00000000" w:rsidRPr="00000000">
        <w:rPr>
          <w:sz w:val="22"/>
          <w:szCs w:val="22"/>
          <w:rtl w:val="0"/>
        </w:rPr>
        <w:t xml:space="preserve">Thorough attention is essential to explore the impact of the time spent binge-watching on academic performance since more than half of the participants report that they usually binge-watch in their free time, while some binge-watch during the study period. This is important because binge-watching can disrupt sleep patterns (Alfonsi et al., 2023) and distract students from focusing on academic tasks (Vaterlaus et al., 2019). For these reasons, it is necessary for future research to closely examine the relationships between binge-watching, academic performance, and daily routine.</w:t>
      </w:r>
    </w:p>
    <w:p w:rsidR="00000000" w:rsidDel="00000000" w:rsidP="00000000" w:rsidRDefault="00000000" w:rsidRPr="00000000" w14:paraId="00000386">
      <w:pPr>
        <w:ind w:firstLine="720"/>
        <w:jc w:val="both"/>
        <w:rPr>
          <w:sz w:val="22"/>
          <w:szCs w:val="22"/>
        </w:rPr>
      </w:pPr>
      <w:r w:rsidDel="00000000" w:rsidR="00000000" w:rsidRPr="00000000">
        <w:rPr>
          <w:rtl w:val="0"/>
        </w:rPr>
      </w:r>
    </w:p>
    <w:p w:rsidR="00000000" w:rsidDel="00000000" w:rsidP="00000000" w:rsidRDefault="00000000" w:rsidRPr="00000000" w14:paraId="00000387">
      <w:pPr>
        <w:ind w:firstLine="720"/>
        <w:jc w:val="both"/>
        <w:rPr>
          <w:sz w:val="22"/>
          <w:szCs w:val="22"/>
        </w:rPr>
      </w:pPr>
      <w:r w:rsidDel="00000000" w:rsidR="00000000" w:rsidRPr="00000000">
        <w:rPr>
          <w:sz w:val="22"/>
          <w:szCs w:val="22"/>
          <w:rtl w:val="0"/>
        </w:rPr>
        <w:t xml:space="preserve">It will also be worthwhile for future research to identify unhealthy binge-watching patterns since this behaviour is potentially addictive. Doing so may provide deeper insights into whether or not binge-watching could be a social problem. Additionally, it is recommended that future researchers identify the types of shows or genres people prefer to binge-watch, how binge-watch impacts their emotional state, and whether they choose to binge-watch alone or with family or friends to lend further support on whether binge-watching urges interaction or leads to isolation. Exploration of these issues can further expand the understanding of the binge-watching phenomenon on a broader scope.</w:t>
      </w:r>
    </w:p>
    <w:p w:rsidR="00000000" w:rsidDel="00000000" w:rsidP="00000000" w:rsidRDefault="00000000" w:rsidRPr="00000000" w14:paraId="00000388">
      <w:pPr>
        <w:jc w:val="both"/>
        <w:rPr>
          <w:sz w:val="22"/>
          <w:szCs w:val="22"/>
        </w:rPr>
      </w:pPr>
      <w:r w:rsidDel="00000000" w:rsidR="00000000" w:rsidRPr="00000000">
        <w:rPr>
          <w:rtl w:val="0"/>
        </w:rPr>
      </w:r>
    </w:p>
    <w:p w:rsidR="00000000" w:rsidDel="00000000" w:rsidP="00000000" w:rsidRDefault="00000000" w:rsidRPr="00000000" w14:paraId="00000389">
      <w:pPr>
        <w:jc w:val="both"/>
        <w:rPr>
          <w:b w:val="1"/>
          <w:sz w:val="24"/>
          <w:szCs w:val="24"/>
        </w:rPr>
      </w:pPr>
      <w:r w:rsidDel="00000000" w:rsidR="00000000" w:rsidRPr="00000000">
        <w:rPr>
          <w:rtl w:val="0"/>
        </w:rPr>
      </w:r>
    </w:p>
    <w:p w:rsidR="00000000" w:rsidDel="00000000" w:rsidP="00000000" w:rsidRDefault="00000000" w:rsidRPr="00000000" w14:paraId="0000038A">
      <w:pPr>
        <w:jc w:val="both"/>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38B">
      <w:pPr>
        <w:jc w:val="both"/>
        <w:rPr>
          <w:sz w:val="22"/>
          <w:szCs w:val="22"/>
        </w:rPr>
      </w:pPr>
      <w:r w:rsidDel="00000000" w:rsidR="00000000" w:rsidRPr="00000000">
        <w:rPr>
          <w:rtl w:val="0"/>
        </w:rPr>
      </w:r>
    </w:p>
    <w:p w:rsidR="00000000" w:rsidDel="00000000" w:rsidP="00000000" w:rsidRDefault="00000000" w:rsidRPr="00000000" w14:paraId="0000038C">
      <w:pPr>
        <w:jc w:val="both"/>
        <w:rPr>
          <w:sz w:val="22"/>
          <w:szCs w:val="22"/>
        </w:rPr>
      </w:pPr>
      <w:r w:rsidDel="00000000" w:rsidR="00000000" w:rsidRPr="00000000">
        <w:rPr>
          <w:sz w:val="22"/>
          <w:szCs w:val="22"/>
          <w:rtl w:val="0"/>
        </w:rPr>
        <w:t xml:space="preserve">The growth of video-on-demand platforms and over-the-top media that facilitates people to binge-watch the whole series of a television show regardless of time and place led this study to examine possible predictors of binge-watching, namely, stress, social interaction anxiety, and loneliness among undergraduate university students in Malaysia. The results show that only social interaction anxiety is a determinant of binge-watching behaviour, indicating that anxiety in social interaction increases binge-watching. This study adds to the literature on media psychology and communication by explicating the role of social interaction as linked to binge-watching behaviours in university students' lives. Nevertheless, the search for more robust empirically-tested models and interventions on binge-watching behaviours must continue so that the associated negative consequences of excessive binge-watching can be effectively mitigated. </w:t>
      </w:r>
    </w:p>
    <w:p w:rsidR="00000000" w:rsidDel="00000000" w:rsidP="00000000" w:rsidRDefault="00000000" w:rsidRPr="00000000" w14:paraId="0000038D">
      <w:pPr>
        <w:jc w:val="both"/>
        <w:rPr>
          <w:sz w:val="22"/>
          <w:szCs w:val="22"/>
        </w:rPr>
      </w:pPr>
      <w:r w:rsidDel="00000000" w:rsidR="00000000" w:rsidRPr="00000000">
        <w:rPr>
          <w:rtl w:val="0"/>
        </w:rPr>
      </w:r>
    </w:p>
    <w:p w:rsidR="00000000" w:rsidDel="00000000" w:rsidP="00000000" w:rsidRDefault="00000000" w:rsidRPr="00000000" w14:paraId="0000038E">
      <w:pPr>
        <w:pStyle w:val="Title"/>
        <w:tabs>
          <w:tab w:val="left" w:leader="none" w:pos="284"/>
        </w:tabs>
        <w:jc w:val="both"/>
        <w:rPr>
          <w:sz w:val="22"/>
          <w:szCs w:val="22"/>
        </w:rPr>
      </w:pPr>
      <w:r w:rsidDel="00000000" w:rsidR="00000000" w:rsidRPr="00000000">
        <w:rPr>
          <w:rtl w:val="0"/>
        </w:rPr>
      </w:r>
    </w:p>
    <w:p w:rsidR="00000000" w:rsidDel="00000000" w:rsidP="00000000" w:rsidRDefault="00000000" w:rsidRPr="00000000" w14:paraId="0000038F">
      <w:pPr>
        <w:pStyle w:val="Title"/>
        <w:tabs>
          <w:tab w:val="left" w:leader="none" w:pos="284"/>
        </w:tabs>
        <w:spacing w:after="0" w:lineRule="auto"/>
        <w:jc w:val="both"/>
        <w:rPr>
          <w:sz w:val="24"/>
          <w:szCs w:val="24"/>
        </w:rPr>
      </w:pPr>
      <w:r w:rsidDel="00000000" w:rsidR="00000000" w:rsidRPr="00000000">
        <w:rPr>
          <w:sz w:val="24"/>
          <w:szCs w:val="24"/>
          <w:rtl w:val="0"/>
        </w:rPr>
        <w:t xml:space="preserve">Acknowledgements</w:t>
      </w:r>
    </w:p>
    <w:p w:rsidR="00000000" w:rsidDel="00000000" w:rsidP="00000000" w:rsidRDefault="00000000" w:rsidRPr="00000000" w14:paraId="00000390">
      <w:pPr>
        <w:jc w:val="both"/>
        <w:rPr>
          <w:sz w:val="22"/>
          <w:szCs w:val="22"/>
        </w:rPr>
      </w:pPr>
      <w:r w:rsidDel="00000000" w:rsidR="00000000" w:rsidRPr="00000000">
        <w:rPr>
          <w:rtl w:val="0"/>
        </w:rPr>
      </w:r>
    </w:p>
    <w:p w:rsidR="00000000" w:rsidDel="00000000" w:rsidP="00000000" w:rsidRDefault="00000000" w:rsidRPr="00000000" w14:paraId="00000391">
      <w:pPr>
        <w:jc w:val="both"/>
        <w:rPr>
          <w:sz w:val="22"/>
          <w:szCs w:val="22"/>
        </w:rPr>
      </w:pPr>
      <w:r w:rsidDel="00000000" w:rsidR="00000000" w:rsidRPr="00000000">
        <w:rPr>
          <w:sz w:val="22"/>
          <w:szCs w:val="22"/>
          <w:rtl w:val="0"/>
        </w:rPr>
        <w:t xml:space="preserve">The authors thank all participants for volunteering in this study. The authors are also grateful to Dr Giuseppe Forte (Sapienza University of Rome), Professor Sheldon Cohen (Carnegie Mellon University, USA), Professor Richard P. Mattick (University of New South Wales, Australia), and Professor Daniel W. Russell (Iowa State University, USA) for permission to use their scales. Ethical approval for this study was obtained from the Department of Psychology, International Islamic University Malaysia (Reference Number: S3/-2-2022-010). This study was self-funded, and the authors declare they have no competing interests.</w:t>
      </w:r>
    </w:p>
    <w:p w:rsidR="00000000" w:rsidDel="00000000" w:rsidP="00000000" w:rsidRDefault="00000000" w:rsidRPr="00000000" w14:paraId="00000392">
      <w:pPr>
        <w:jc w:val="both"/>
        <w:rPr>
          <w:sz w:val="22"/>
          <w:szCs w:val="22"/>
        </w:rPr>
      </w:pPr>
      <w:r w:rsidDel="00000000" w:rsidR="00000000" w:rsidRPr="00000000">
        <w:rPr>
          <w:rtl w:val="0"/>
        </w:rPr>
      </w:r>
    </w:p>
    <w:p w:rsidR="00000000" w:rsidDel="00000000" w:rsidP="00000000" w:rsidRDefault="00000000" w:rsidRPr="00000000" w14:paraId="00000393">
      <w:pPr>
        <w:pStyle w:val="Title"/>
        <w:tabs>
          <w:tab w:val="left" w:leader="none" w:pos="284"/>
        </w:tabs>
        <w:spacing w:after="0" w:lineRule="auto"/>
        <w:jc w:val="both"/>
        <w:rPr>
          <w:sz w:val="22"/>
          <w:szCs w:val="22"/>
        </w:rPr>
      </w:pPr>
      <w:r w:rsidDel="00000000" w:rsidR="00000000" w:rsidRPr="00000000">
        <w:rPr>
          <w:rtl w:val="0"/>
        </w:rPr>
      </w:r>
    </w:p>
    <w:p w:rsidR="00000000" w:rsidDel="00000000" w:rsidP="00000000" w:rsidRDefault="00000000" w:rsidRPr="00000000" w14:paraId="00000394">
      <w:pPr>
        <w:pStyle w:val="Title"/>
        <w:tabs>
          <w:tab w:val="left" w:leader="none" w:pos="284"/>
        </w:tabs>
        <w:spacing w:after="0" w:lineRule="auto"/>
        <w:jc w:val="both"/>
        <w:rPr>
          <w:sz w:val="22"/>
          <w:szCs w:val="22"/>
        </w:rPr>
      </w:pPr>
      <w:r w:rsidDel="00000000" w:rsidR="00000000" w:rsidRPr="00000000">
        <w:rPr>
          <w:sz w:val="22"/>
          <w:szCs w:val="22"/>
          <w:rtl w:val="0"/>
        </w:rPr>
        <w:t xml:space="preserve">REFERENCES</w:t>
      </w:r>
    </w:p>
    <w:p w:rsidR="00000000" w:rsidDel="00000000" w:rsidP="00000000" w:rsidRDefault="00000000" w:rsidRPr="00000000" w14:paraId="00000395">
      <w:pPr>
        <w:rPr>
          <w:sz w:val="22"/>
          <w:szCs w:val="22"/>
        </w:rPr>
      </w:pPr>
      <w:r w:rsidDel="00000000" w:rsidR="00000000" w:rsidRPr="00000000">
        <w:rPr>
          <w:rtl w:val="0"/>
        </w:rPr>
      </w:r>
    </w:p>
    <w:p w:rsidR="00000000" w:rsidDel="00000000" w:rsidP="00000000" w:rsidRDefault="00000000" w:rsidRPr="00000000" w14:paraId="00000396">
      <w:pPr>
        <w:ind w:left="720" w:hanging="720"/>
        <w:jc w:val="both"/>
        <w:rPr>
          <w:sz w:val="22"/>
          <w:szCs w:val="22"/>
        </w:rPr>
      </w:pPr>
      <w:r w:rsidDel="00000000" w:rsidR="00000000" w:rsidRPr="00000000">
        <w:rPr>
          <w:sz w:val="22"/>
          <w:szCs w:val="22"/>
          <w:rtl w:val="0"/>
        </w:rPr>
        <w:t xml:space="preserve">Alfonsi, V., Varallo, G., Scarpelli, S., Gorgoni, M., Filosa, M., De Gennaro, L., Musetti, A., &amp; Franceschini, C. (2023). ‘This is the last episode’: The association between problematic binge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sz w:val="22"/>
          <w:szCs w:val="22"/>
          <w:rtl w:val="0"/>
        </w:rPr>
        <w:t xml:space="preserve">watching and loneliness, emotion regulation, and sleep</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sz w:val="22"/>
          <w:szCs w:val="22"/>
          <w:rtl w:val="0"/>
        </w:rPr>
        <w:t xml:space="preserve">related factors in poor sleepers. </w:t>
      </w:r>
      <w:r w:rsidDel="00000000" w:rsidR="00000000" w:rsidRPr="00000000">
        <w:rPr>
          <w:i w:val="1"/>
          <w:sz w:val="22"/>
          <w:szCs w:val="22"/>
          <w:rtl w:val="0"/>
        </w:rPr>
        <w:t xml:space="preserve">Journal of Sleep Research, 32</w:t>
      </w:r>
      <w:r w:rsidDel="00000000" w:rsidR="00000000" w:rsidRPr="00000000">
        <w:rPr>
          <w:sz w:val="22"/>
          <w:szCs w:val="22"/>
          <w:rtl w:val="0"/>
        </w:rPr>
        <w:t xml:space="preserve">(1), e13747. </w:t>
      </w:r>
      <w:hyperlink r:id="rId16">
        <w:r w:rsidDel="00000000" w:rsidR="00000000" w:rsidRPr="00000000">
          <w:rPr>
            <w:color w:val="0000ff"/>
            <w:sz w:val="22"/>
            <w:szCs w:val="22"/>
            <w:u w:val="single"/>
            <w:rtl w:val="0"/>
          </w:rPr>
          <w:t xml:space="preserve">https://doi.org/10.1111/jsr.13747</w:t>
        </w:r>
      </w:hyperlink>
      <w:r w:rsidDel="00000000" w:rsidR="00000000" w:rsidRPr="00000000">
        <w:rPr>
          <w:rtl w:val="0"/>
        </w:rPr>
      </w:r>
    </w:p>
    <w:p w:rsidR="00000000" w:rsidDel="00000000" w:rsidP="00000000" w:rsidRDefault="00000000" w:rsidRPr="00000000" w14:paraId="00000397">
      <w:pPr>
        <w:ind w:left="720" w:hanging="720"/>
        <w:jc w:val="both"/>
        <w:rPr>
          <w:sz w:val="22"/>
          <w:szCs w:val="22"/>
        </w:rPr>
      </w:pPr>
      <w:r w:rsidDel="00000000" w:rsidR="00000000" w:rsidRPr="00000000">
        <w:rPr>
          <w:sz w:val="22"/>
          <w:szCs w:val="22"/>
          <w:rtl w:val="0"/>
        </w:rPr>
        <w:t xml:space="preserve">Anjali, R., Renu, G., &amp; Veenu, W. (2019). Stress among students: An emerging issue. </w:t>
      </w:r>
      <w:r w:rsidDel="00000000" w:rsidR="00000000" w:rsidRPr="00000000">
        <w:rPr>
          <w:i w:val="1"/>
          <w:sz w:val="22"/>
          <w:szCs w:val="22"/>
          <w:rtl w:val="0"/>
        </w:rPr>
        <w:t xml:space="preserve">Integrated Journal of Social Sciences, 6</w:t>
      </w:r>
      <w:r w:rsidDel="00000000" w:rsidR="00000000" w:rsidRPr="00000000">
        <w:rPr>
          <w:sz w:val="22"/>
          <w:szCs w:val="22"/>
          <w:rtl w:val="0"/>
        </w:rPr>
        <w:t xml:space="preserve">(2), 44-48. </w:t>
      </w:r>
      <w:hyperlink r:id="rId17">
        <w:r w:rsidDel="00000000" w:rsidR="00000000" w:rsidRPr="00000000">
          <w:rPr>
            <w:color w:val="0000ff"/>
            <w:sz w:val="22"/>
            <w:szCs w:val="22"/>
            <w:u w:val="single"/>
            <w:rtl w:val="0"/>
          </w:rPr>
          <w:t xml:space="preserve">https://pubs.iscience.in/journal/index.php/ijss/article/view/891</w:t>
        </w:r>
      </w:hyperlink>
      <w:r w:rsidDel="00000000" w:rsidR="00000000" w:rsidRPr="00000000">
        <w:rPr>
          <w:rtl w:val="0"/>
        </w:rPr>
      </w:r>
    </w:p>
    <w:p w:rsidR="00000000" w:rsidDel="00000000" w:rsidP="00000000" w:rsidRDefault="00000000" w:rsidRPr="00000000" w14:paraId="00000398">
      <w:pPr>
        <w:ind w:left="720" w:hanging="720"/>
        <w:jc w:val="both"/>
        <w:rPr>
          <w:sz w:val="22"/>
          <w:szCs w:val="22"/>
        </w:rPr>
      </w:pPr>
      <w:r w:rsidDel="00000000" w:rsidR="00000000" w:rsidRPr="00000000">
        <w:rPr>
          <w:sz w:val="22"/>
          <w:szCs w:val="22"/>
          <w:rtl w:val="0"/>
        </w:rPr>
        <w:t xml:space="preserve">Arend, A. K., Blechert, J., Pannicke, B., &amp; Reichenberger, J. (2021). Increased screen use on days with increased perceived COVID-19-related confinements - a day-level ecological momentary assessment study. </w:t>
      </w:r>
      <w:r w:rsidDel="00000000" w:rsidR="00000000" w:rsidRPr="00000000">
        <w:rPr>
          <w:i w:val="1"/>
          <w:sz w:val="22"/>
          <w:szCs w:val="22"/>
          <w:rtl w:val="0"/>
        </w:rPr>
        <w:t xml:space="preserve">Frontiers in Public Health, 8</w:t>
      </w:r>
      <w:r w:rsidDel="00000000" w:rsidR="00000000" w:rsidRPr="00000000">
        <w:rPr>
          <w:sz w:val="22"/>
          <w:szCs w:val="22"/>
          <w:rtl w:val="0"/>
        </w:rPr>
        <w:t xml:space="preserve">, 623205. </w:t>
      </w:r>
      <w:hyperlink r:id="rId18">
        <w:r w:rsidDel="00000000" w:rsidR="00000000" w:rsidRPr="00000000">
          <w:rPr>
            <w:color w:val="0000ff"/>
            <w:sz w:val="22"/>
            <w:szCs w:val="22"/>
            <w:u w:val="single"/>
            <w:rtl w:val="0"/>
          </w:rPr>
          <w:t xml:space="preserve">https://doi.org/10.3389/fpubh.2020.623205</w:t>
        </w:r>
      </w:hyperlink>
      <w:r w:rsidDel="00000000" w:rsidR="00000000" w:rsidRPr="00000000">
        <w:rPr>
          <w:rtl w:val="0"/>
        </w:rPr>
      </w:r>
    </w:p>
    <w:p w:rsidR="00000000" w:rsidDel="00000000" w:rsidP="00000000" w:rsidRDefault="00000000" w:rsidRPr="00000000" w14:paraId="00000399">
      <w:pPr>
        <w:ind w:left="720" w:hanging="720"/>
        <w:jc w:val="both"/>
        <w:rPr>
          <w:sz w:val="22"/>
          <w:szCs w:val="22"/>
        </w:rPr>
      </w:pPr>
      <w:r w:rsidDel="00000000" w:rsidR="00000000" w:rsidRPr="00000000">
        <w:rPr>
          <w:sz w:val="22"/>
          <w:szCs w:val="22"/>
          <w:rtl w:val="0"/>
        </w:rPr>
        <w:t xml:space="preserve">Baker, T. L. (1998). </w:t>
      </w:r>
      <w:r w:rsidDel="00000000" w:rsidR="00000000" w:rsidRPr="00000000">
        <w:rPr>
          <w:i w:val="1"/>
          <w:sz w:val="22"/>
          <w:szCs w:val="22"/>
          <w:rtl w:val="0"/>
        </w:rPr>
        <w:t xml:space="preserve">Doing Social Research</w:t>
      </w:r>
      <w:r w:rsidDel="00000000" w:rsidR="00000000" w:rsidRPr="00000000">
        <w:rPr>
          <w:sz w:val="22"/>
          <w:szCs w:val="22"/>
          <w:rtl w:val="0"/>
        </w:rPr>
        <w:t xml:space="preserve"> (3</w:t>
      </w:r>
      <w:r w:rsidDel="00000000" w:rsidR="00000000" w:rsidRPr="00000000">
        <w:rPr>
          <w:sz w:val="22"/>
          <w:szCs w:val="22"/>
          <w:vertAlign w:val="superscript"/>
          <w:rtl w:val="0"/>
        </w:rPr>
        <w:t xml:space="preserve">rd</w:t>
      </w:r>
      <w:r w:rsidDel="00000000" w:rsidR="00000000" w:rsidRPr="00000000">
        <w:rPr>
          <w:sz w:val="22"/>
          <w:szCs w:val="22"/>
          <w:rtl w:val="0"/>
        </w:rPr>
        <w:t xml:space="preserve"> Ed.). McGraw-Hill Inc.</w:t>
      </w:r>
    </w:p>
    <w:p w:rsidR="00000000" w:rsidDel="00000000" w:rsidP="00000000" w:rsidRDefault="00000000" w:rsidRPr="00000000" w14:paraId="0000039A">
      <w:pPr>
        <w:ind w:left="720" w:hanging="720"/>
        <w:jc w:val="both"/>
        <w:rPr>
          <w:sz w:val="22"/>
          <w:szCs w:val="22"/>
        </w:rPr>
      </w:pPr>
      <w:r w:rsidDel="00000000" w:rsidR="00000000" w:rsidRPr="00000000">
        <w:rPr>
          <w:sz w:val="22"/>
          <w:szCs w:val="22"/>
          <w:rtl w:val="0"/>
        </w:rPr>
        <w:t xml:space="preserve">Batik, M. V., &amp; Demir, M. (2021). The mediating role of binge-watching in the relationship between type D personality and loneliness. </w:t>
      </w:r>
      <w:r w:rsidDel="00000000" w:rsidR="00000000" w:rsidRPr="00000000">
        <w:rPr>
          <w:i w:val="1"/>
          <w:sz w:val="22"/>
          <w:szCs w:val="22"/>
          <w:rtl w:val="0"/>
        </w:rPr>
        <w:t xml:space="preserve">Health Psychology Report, 9</w:t>
      </w:r>
      <w:r w:rsidDel="00000000" w:rsidR="00000000" w:rsidRPr="00000000">
        <w:rPr>
          <w:sz w:val="22"/>
          <w:szCs w:val="22"/>
          <w:rtl w:val="0"/>
        </w:rPr>
        <w:t xml:space="preserve">(1). </w:t>
      </w:r>
      <w:hyperlink r:id="rId19">
        <w:r w:rsidDel="00000000" w:rsidR="00000000" w:rsidRPr="00000000">
          <w:rPr>
            <w:color w:val="0000ff"/>
            <w:sz w:val="22"/>
            <w:szCs w:val="22"/>
            <w:u w:val="single"/>
            <w:rtl w:val="0"/>
          </w:rPr>
          <w:t xml:space="preserve">https://doi.org/10.5114/hpr.2021.109550</w:t>
        </w:r>
      </w:hyperlink>
      <w:r w:rsidDel="00000000" w:rsidR="00000000" w:rsidRPr="00000000">
        <w:rPr>
          <w:rtl w:val="0"/>
        </w:rPr>
      </w:r>
    </w:p>
    <w:p w:rsidR="00000000" w:rsidDel="00000000" w:rsidP="00000000" w:rsidRDefault="00000000" w:rsidRPr="00000000" w14:paraId="0000039B">
      <w:pPr>
        <w:ind w:left="720" w:hanging="720"/>
        <w:jc w:val="both"/>
        <w:rPr>
          <w:sz w:val="22"/>
          <w:szCs w:val="22"/>
        </w:rPr>
      </w:pPr>
      <w:r w:rsidDel="00000000" w:rsidR="00000000" w:rsidRPr="00000000">
        <w:rPr>
          <w:sz w:val="22"/>
          <w:szCs w:val="22"/>
          <w:rtl w:val="0"/>
        </w:rPr>
        <w:t xml:space="preserve">Becker, R. (2022). Gender and survey participation: An event history analysis of the gender effects of survey participation in a probability-based multi-wave panel study with a sequential mixed-mode design. </w:t>
      </w:r>
      <w:r w:rsidDel="00000000" w:rsidR="00000000" w:rsidRPr="00000000">
        <w:rPr>
          <w:i w:val="1"/>
          <w:sz w:val="22"/>
          <w:szCs w:val="22"/>
          <w:rtl w:val="0"/>
        </w:rPr>
        <w:t xml:space="preserve">Methods, Data, Analyses, 16</w:t>
      </w:r>
      <w:r w:rsidDel="00000000" w:rsidR="00000000" w:rsidRPr="00000000">
        <w:rPr>
          <w:sz w:val="22"/>
          <w:szCs w:val="22"/>
          <w:rtl w:val="0"/>
        </w:rPr>
        <w:t xml:space="preserve">(1), 3–32. </w:t>
      </w:r>
      <w:hyperlink r:id="rId20">
        <w:r w:rsidDel="00000000" w:rsidR="00000000" w:rsidRPr="00000000">
          <w:rPr>
            <w:color w:val="0000ff"/>
            <w:sz w:val="22"/>
            <w:szCs w:val="22"/>
            <w:u w:val="single"/>
            <w:rtl w:val="0"/>
          </w:rPr>
          <w:t xml:space="preserve">https://doi.org/10.12758/mda.2021.08</w:t>
        </w:r>
      </w:hyperlink>
      <w:r w:rsidDel="00000000" w:rsidR="00000000" w:rsidRPr="00000000">
        <w:rPr>
          <w:rtl w:val="0"/>
        </w:rPr>
      </w:r>
    </w:p>
    <w:p w:rsidR="00000000" w:rsidDel="00000000" w:rsidP="00000000" w:rsidRDefault="00000000" w:rsidRPr="00000000" w14:paraId="0000039C">
      <w:pPr>
        <w:ind w:left="720" w:hanging="720"/>
        <w:jc w:val="both"/>
        <w:rPr>
          <w:sz w:val="22"/>
          <w:szCs w:val="22"/>
        </w:rPr>
      </w:pPr>
      <w:r w:rsidDel="00000000" w:rsidR="00000000" w:rsidRPr="00000000">
        <w:rPr>
          <w:sz w:val="22"/>
          <w:szCs w:val="22"/>
          <w:rtl w:val="0"/>
        </w:rPr>
        <w:t xml:space="preserve">Bradburn, N. M., Sudman, S., &amp; Wansink, B. (2004). </w:t>
      </w:r>
      <w:r w:rsidDel="00000000" w:rsidR="00000000" w:rsidRPr="00000000">
        <w:rPr>
          <w:i w:val="1"/>
          <w:sz w:val="22"/>
          <w:szCs w:val="22"/>
          <w:rtl w:val="0"/>
        </w:rPr>
        <w:t xml:space="preserve">Asking Questions: The Definitive Guide to Questionnaire Design -  For Market Research, Political Polls, and Social and Health Questionnaires</w:t>
      </w:r>
      <w:r w:rsidDel="00000000" w:rsidR="00000000" w:rsidRPr="00000000">
        <w:rPr>
          <w:sz w:val="22"/>
          <w:szCs w:val="22"/>
          <w:rtl w:val="0"/>
        </w:rPr>
        <w:t xml:space="preserve">. John Wiley &amp; Sons.</w:t>
      </w:r>
    </w:p>
    <w:p w:rsidR="00000000" w:rsidDel="00000000" w:rsidP="00000000" w:rsidRDefault="00000000" w:rsidRPr="00000000" w14:paraId="0000039D">
      <w:pPr>
        <w:ind w:left="720" w:hanging="720"/>
        <w:jc w:val="both"/>
        <w:rPr>
          <w:sz w:val="22"/>
          <w:szCs w:val="22"/>
        </w:rPr>
      </w:pPr>
      <w:r w:rsidDel="00000000" w:rsidR="00000000" w:rsidRPr="00000000">
        <w:rPr>
          <w:sz w:val="22"/>
          <w:szCs w:val="22"/>
          <w:rtl w:val="0"/>
        </w:rPr>
        <w:t xml:space="preserve">Brown, T. A. (2015). </w:t>
      </w:r>
      <w:r w:rsidDel="00000000" w:rsidR="00000000" w:rsidRPr="00000000">
        <w:rPr>
          <w:i w:val="1"/>
          <w:sz w:val="22"/>
          <w:szCs w:val="22"/>
          <w:rtl w:val="0"/>
        </w:rPr>
        <w:t xml:space="preserve">Confirmatory Factor Analysis for Applied Research</w:t>
      </w:r>
      <w:r w:rsidDel="00000000" w:rsidR="00000000" w:rsidRPr="00000000">
        <w:rPr>
          <w:sz w:val="22"/>
          <w:szCs w:val="22"/>
          <w:rtl w:val="0"/>
        </w:rPr>
        <w:t xml:space="preserve">. Guilford Publications.</w:t>
      </w:r>
    </w:p>
    <w:p w:rsidR="00000000" w:rsidDel="00000000" w:rsidP="00000000" w:rsidRDefault="00000000" w:rsidRPr="00000000" w14:paraId="0000039E">
      <w:pPr>
        <w:ind w:left="720" w:hanging="720"/>
        <w:jc w:val="both"/>
        <w:rPr>
          <w:sz w:val="22"/>
          <w:szCs w:val="22"/>
        </w:rPr>
      </w:pPr>
      <w:r w:rsidDel="00000000" w:rsidR="00000000" w:rsidRPr="00000000">
        <w:rPr>
          <w:sz w:val="22"/>
          <w:szCs w:val="22"/>
          <w:rtl w:val="0"/>
        </w:rPr>
        <w:t xml:space="preserve">Cacioppo, J. T., &amp; Patrick, W. (2008). </w:t>
      </w:r>
      <w:r w:rsidDel="00000000" w:rsidR="00000000" w:rsidRPr="00000000">
        <w:rPr>
          <w:i w:val="1"/>
          <w:sz w:val="22"/>
          <w:szCs w:val="22"/>
          <w:rtl w:val="0"/>
        </w:rPr>
        <w:t xml:space="preserve">Loneliness: Human Nature and the Need for Social Connection</w:t>
      </w:r>
      <w:r w:rsidDel="00000000" w:rsidR="00000000" w:rsidRPr="00000000">
        <w:rPr>
          <w:sz w:val="22"/>
          <w:szCs w:val="22"/>
          <w:rtl w:val="0"/>
        </w:rPr>
        <w:t xml:space="preserve">. WW Norton &amp; Company.</w:t>
      </w:r>
    </w:p>
    <w:p w:rsidR="00000000" w:rsidDel="00000000" w:rsidP="00000000" w:rsidRDefault="00000000" w:rsidRPr="00000000" w14:paraId="0000039F">
      <w:pPr>
        <w:ind w:left="720" w:hanging="720"/>
        <w:jc w:val="both"/>
        <w:rPr>
          <w:sz w:val="22"/>
          <w:szCs w:val="22"/>
        </w:rPr>
      </w:pPr>
      <w:r w:rsidDel="00000000" w:rsidR="00000000" w:rsidRPr="00000000">
        <w:rPr>
          <w:sz w:val="22"/>
          <w:szCs w:val="22"/>
          <w:rtl w:val="0"/>
        </w:rPr>
        <w:t xml:space="preserve">Castro, D., Rigby, J. M., Cabral, D., &amp; Nisi, V. (2021). The binge-watcher's journey: Investigating motivations, contexts, and affective states surrounding Netflix viewing. </w:t>
      </w:r>
      <w:r w:rsidDel="00000000" w:rsidR="00000000" w:rsidRPr="00000000">
        <w:rPr>
          <w:i w:val="1"/>
          <w:sz w:val="22"/>
          <w:szCs w:val="22"/>
          <w:rtl w:val="0"/>
        </w:rPr>
        <w:t xml:space="preserve">Convergence, 27</w:t>
      </w:r>
      <w:r w:rsidDel="00000000" w:rsidR="00000000" w:rsidRPr="00000000">
        <w:rPr>
          <w:sz w:val="22"/>
          <w:szCs w:val="22"/>
          <w:rtl w:val="0"/>
        </w:rPr>
        <w:t xml:space="preserve">(1), 3–20. </w:t>
      </w:r>
      <w:hyperlink r:id="rId21">
        <w:r w:rsidDel="00000000" w:rsidR="00000000" w:rsidRPr="00000000">
          <w:rPr>
            <w:color w:val="0000ff"/>
            <w:sz w:val="22"/>
            <w:szCs w:val="22"/>
            <w:u w:val="single"/>
            <w:rtl w:val="0"/>
          </w:rPr>
          <w:t xml:space="preserve">https://doi.org/10.1177/13548565198908</w:t>
        </w:r>
      </w:hyperlink>
      <w:r w:rsidDel="00000000" w:rsidR="00000000" w:rsidRPr="00000000">
        <w:rPr>
          <w:rtl w:val="0"/>
        </w:rPr>
      </w:r>
    </w:p>
    <w:p w:rsidR="00000000" w:rsidDel="00000000" w:rsidP="00000000" w:rsidRDefault="00000000" w:rsidRPr="00000000" w14:paraId="000003A0">
      <w:pPr>
        <w:ind w:left="720" w:hanging="720"/>
        <w:jc w:val="both"/>
        <w:rPr>
          <w:sz w:val="22"/>
          <w:szCs w:val="22"/>
        </w:rPr>
      </w:pPr>
      <w:bookmarkStart w:colFirst="0" w:colLast="0" w:name="_30j0zll" w:id="1"/>
      <w:bookmarkEnd w:id="1"/>
      <w:r w:rsidDel="00000000" w:rsidR="00000000" w:rsidRPr="00000000">
        <w:rPr>
          <w:sz w:val="22"/>
          <w:szCs w:val="22"/>
          <w:rtl w:val="0"/>
        </w:rPr>
        <w:t xml:space="preserve">Chan, T. J., Han, J., Roslan, S. N., &amp; Wok, S. (2022). Predictions of Netflix binge-watching behaviour among university students during movement control order. </w:t>
      </w:r>
      <w:r w:rsidDel="00000000" w:rsidR="00000000" w:rsidRPr="00000000">
        <w:rPr>
          <w:i w:val="1"/>
          <w:sz w:val="22"/>
          <w:szCs w:val="22"/>
          <w:rtl w:val="0"/>
        </w:rPr>
        <w:t xml:space="preserve">Journal of Communication, Language and Culture, 2</w:t>
      </w:r>
      <w:r w:rsidDel="00000000" w:rsidR="00000000" w:rsidRPr="00000000">
        <w:rPr>
          <w:sz w:val="22"/>
          <w:szCs w:val="22"/>
          <w:rtl w:val="0"/>
        </w:rPr>
        <w:t xml:space="preserve">(2), 1-17. </w:t>
      </w:r>
      <w:hyperlink r:id="rId22">
        <w:r w:rsidDel="00000000" w:rsidR="00000000" w:rsidRPr="00000000">
          <w:rPr>
            <w:color w:val="0000ff"/>
            <w:sz w:val="22"/>
            <w:szCs w:val="22"/>
            <w:u w:val="single"/>
            <w:rtl w:val="0"/>
          </w:rPr>
          <w:t xml:space="preserve">https://doi.org/10.33093/jclc.2022.2.2.1</w:t>
        </w:r>
      </w:hyperlink>
      <w:r w:rsidDel="00000000" w:rsidR="00000000" w:rsidRPr="00000000">
        <w:rPr>
          <w:rtl w:val="0"/>
        </w:rPr>
      </w:r>
    </w:p>
    <w:p w:rsidR="00000000" w:rsidDel="00000000" w:rsidP="00000000" w:rsidRDefault="00000000" w:rsidRPr="00000000" w14:paraId="000003A1">
      <w:pPr>
        <w:ind w:left="720" w:hanging="720"/>
        <w:jc w:val="both"/>
        <w:rPr>
          <w:sz w:val="22"/>
          <w:szCs w:val="22"/>
        </w:rPr>
      </w:pPr>
      <w:r w:rsidDel="00000000" w:rsidR="00000000" w:rsidRPr="00000000">
        <w:rPr>
          <w:sz w:val="22"/>
          <w:szCs w:val="22"/>
          <w:rtl w:val="0"/>
        </w:rPr>
        <w:t xml:space="preserve">Coates, R., Sykora, M., &amp; Jackson, T. (2019). </w:t>
      </w:r>
      <w:r w:rsidDel="00000000" w:rsidR="00000000" w:rsidRPr="00000000">
        <w:rPr>
          <w:i w:val="1"/>
          <w:sz w:val="22"/>
          <w:szCs w:val="22"/>
          <w:rtl w:val="0"/>
        </w:rPr>
        <w:t xml:space="preserve">Browsing to Breathe: Social Media for Stress Reduction</w:t>
      </w:r>
      <w:r w:rsidDel="00000000" w:rsidR="00000000" w:rsidRPr="00000000">
        <w:rPr>
          <w:sz w:val="22"/>
          <w:szCs w:val="22"/>
          <w:rtl w:val="0"/>
        </w:rPr>
        <w:t xml:space="preserve">. Proceedings of the 52</w:t>
      </w:r>
      <w:r w:rsidDel="00000000" w:rsidR="00000000" w:rsidRPr="00000000">
        <w:rPr>
          <w:sz w:val="22"/>
          <w:szCs w:val="22"/>
          <w:vertAlign w:val="superscript"/>
          <w:rtl w:val="0"/>
        </w:rPr>
        <w:t xml:space="preserve">nd</w:t>
      </w:r>
      <w:r w:rsidDel="00000000" w:rsidR="00000000" w:rsidRPr="00000000">
        <w:rPr>
          <w:sz w:val="22"/>
          <w:szCs w:val="22"/>
          <w:rtl w:val="0"/>
        </w:rPr>
        <w:t xml:space="preserve"> Hawaii International Conference on System Sciences. </w:t>
      </w:r>
      <w:hyperlink r:id="rId23">
        <w:r w:rsidDel="00000000" w:rsidR="00000000" w:rsidRPr="00000000">
          <w:rPr>
            <w:color w:val="0000ff"/>
            <w:sz w:val="22"/>
            <w:szCs w:val="22"/>
            <w:u w:val="single"/>
            <w:rtl w:val="0"/>
          </w:rPr>
          <w:t xml:space="preserve">https://doi.org/10.24251/HICSS.2019.510</w:t>
        </w:r>
      </w:hyperlink>
      <w:r w:rsidDel="00000000" w:rsidR="00000000" w:rsidRPr="00000000">
        <w:rPr>
          <w:rtl w:val="0"/>
        </w:rPr>
      </w:r>
    </w:p>
    <w:p w:rsidR="00000000" w:rsidDel="00000000" w:rsidP="00000000" w:rsidRDefault="00000000" w:rsidRPr="00000000" w14:paraId="000003A2">
      <w:pPr>
        <w:ind w:left="720" w:hanging="720"/>
        <w:jc w:val="both"/>
        <w:rPr>
          <w:sz w:val="22"/>
          <w:szCs w:val="22"/>
        </w:rPr>
      </w:pPr>
      <w:r w:rsidDel="00000000" w:rsidR="00000000" w:rsidRPr="00000000">
        <w:rPr>
          <w:sz w:val="22"/>
          <w:szCs w:val="22"/>
          <w:rtl w:val="0"/>
        </w:rPr>
        <w:t xml:space="preserve">Cohen, S., Kamarck, T., &amp; Mermelstein, R. (1994). Perceived stress scale. </w:t>
      </w:r>
      <w:r w:rsidDel="00000000" w:rsidR="00000000" w:rsidRPr="00000000">
        <w:rPr>
          <w:i w:val="1"/>
          <w:sz w:val="22"/>
          <w:szCs w:val="22"/>
          <w:rtl w:val="0"/>
        </w:rPr>
        <w:t xml:space="preserve">Measuring Stress: A Guide for Health and Social Scientists, 10</w:t>
      </w:r>
      <w:r w:rsidDel="00000000" w:rsidR="00000000" w:rsidRPr="00000000">
        <w:rPr>
          <w:sz w:val="22"/>
          <w:szCs w:val="22"/>
          <w:rtl w:val="0"/>
        </w:rPr>
        <w:t xml:space="preserve">(2), 1-2. </w:t>
      </w:r>
      <w:hyperlink r:id="rId24">
        <w:r w:rsidDel="00000000" w:rsidR="00000000" w:rsidRPr="00000000">
          <w:rPr>
            <w:color w:val="0000ff"/>
            <w:sz w:val="22"/>
            <w:szCs w:val="22"/>
            <w:u w:val="single"/>
            <w:rtl w:val="0"/>
          </w:rPr>
          <w:t xml:space="preserve">https://das.nh.gov/wellness/docs/percieved%20stress%20scale.pdf</w:t>
        </w:r>
      </w:hyperlink>
      <w:r w:rsidDel="00000000" w:rsidR="00000000" w:rsidRPr="00000000">
        <w:rPr>
          <w:rtl w:val="0"/>
        </w:rPr>
      </w:r>
    </w:p>
    <w:p w:rsidR="00000000" w:rsidDel="00000000" w:rsidP="00000000" w:rsidRDefault="00000000" w:rsidRPr="00000000" w14:paraId="000003A3">
      <w:pPr>
        <w:ind w:left="720" w:hanging="720"/>
        <w:jc w:val="both"/>
        <w:rPr>
          <w:sz w:val="22"/>
          <w:szCs w:val="22"/>
        </w:rPr>
      </w:pPr>
      <w:r w:rsidDel="00000000" w:rsidR="00000000" w:rsidRPr="00000000">
        <w:rPr>
          <w:sz w:val="22"/>
          <w:szCs w:val="22"/>
          <w:rtl w:val="0"/>
        </w:rPr>
        <w:t xml:space="preserve">DeCarlo, M., Cummings, C., &amp; Agnelli, K. (2021). Graduate research methods in social work. </w:t>
      </w:r>
      <w:r w:rsidDel="00000000" w:rsidR="00000000" w:rsidRPr="00000000">
        <w:rPr>
          <w:i w:val="1"/>
          <w:sz w:val="22"/>
          <w:szCs w:val="22"/>
          <w:rtl w:val="0"/>
        </w:rPr>
        <w:t xml:space="preserve">Open Social Work.</w:t>
      </w:r>
      <w:r w:rsidDel="00000000" w:rsidR="00000000" w:rsidRPr="00000000">
        <w:rPr>
          <w:sz w:val="22"/>
          <w:szCs w:val="22"/>
          <w:rtl w:val="0"/>
        </w:rPr>
        <w:t xml:space="preserve"> </w:t>
      </w:r>
      <w:hyperlink r:id="rId25">
        <w:r w:rsidDel="00000000" w:rsidR="00000000" w:rsidRPr="00000000">
          <w:rPr>
            <w:color w:val="0000ff"/>
            <w:sz w:val="22"/>
            <w:szCs w:val="22"/>
            <w:u w:val="single"/>
            <w:rtl w:val="0"/>
          </w:rPr>
          <w:t xml:space="preserve">https://pressbooks.rampages.us/msw-research</w:t>
        </w:r>
      </w:hyperlink>
      <w:r w:rsidDel="00000000" w:rsidR="00000000" w:rsidRPr="00000000">
        <w:rPr>
          <w:rtl w:val="0"/>
        </w:rPr>
      </w:r>
    </w:p>
    <w:p w:rsidR="00000000" w:rsidDel="00000000" w:rsidP="00000000" w:rsidRDefault="00000000" w:rsidRPr="00000000" w14:paraId="000003A4">
      <w:pPr>
        <w:ind w:left="720" w:hanging="720"/>
        <w:jc w:val="both"/>
        <w:rPr>
          <w:sz w:val="22"/>
          <w:szCs w:val="22"/>
        </w:rPr>
      </w:pPr>
      <w:r w:rsidDel="00000000" w:rsidR="00000000" w:rsidRPr="00000000">
        <w:rPr>
          <w:sz w:val="22"/>
          <w:szCs w:val="22"/>
          <w:rtl w:val="0"/>
        </w:rPr>
        <w:t xml:space="preserve">Diehl, K., Jansen, C., Ishchanova, K., &amp; Hilger-Kolb, J. (2018). Loneliness at universities: Determinants of emotional and social loneliness among students. </w:t>
      </w:r>
      <w:r w:rsidDel="00000000" w:rsidR="00000000" w:rsidRPr="00000000">
        <w:rPr>
          <w:i w:val="1"/>
          <w:sz w:val="22"/>
          <w:szCs w:val="22"/>
          <w:rtl w:val="0"/>
        </w:rPr>
        <w:t xml:space="preserve">International Journal of Environmental Research and Public Health, 15</w:t>
      </w:r>
      <w:r w:rsidDel="00000000" w:rsidR="00000000" w:rsidRPr="00000000">
        <w:rPr>
          <w:sz w:val="22"/>
          <w:szCs w:val="22"/>
          <w:rtl w:val="0"/>
        </w:rPr>
        <w:t xml:space="preserve">(9), 1865. </w:t>
      </w:r>
      <w:hyperlink r:id="rId26">
        <w:r w:rsidDel="00000000" w:rsidR="00000000" w:rsidRPr="00000000">
          <w:rPr>
            <w:color w:val="0000ff"/>
            <w:sz w:val="22"/>
            <w:szCs w:val="22"/>
            <w:u w:val="single"/>
            <w:rtl w:val="0"/>
          </w:rPr>
          <w:t xml:space="preserve">https://doi.org/10.3390/ijerph15091865</w:t>
        </w:r>
      </w:hyperlink>
      <w:r w:rsidDel="00000000" w:rsidR="00000000" w:rsidRPr="00000000">
        <w:rPr>
          <w:rtl w:val="0"/>
        </w:rPr>
      </w:r>
    </w:p>
    <w:p w:rsidR="00000000" w:rsidDel="00000000" w:rsidP="00000000" w:rsidRDefault="00000000" w:rsidRPr="00000000" w14:paraId="000003A5">
      <w:pPr>
        <w:ind w:left="720" w:hanging="720"/>
        <w:jc w:val="both"/>
        <w:rPr>
          <w:sz w:val="22"/>
          <w:szCs w:val="22"/>
        </w:rPr>
      </w:pPr>
      <w:r w:rsidDel="00000000" w:rsidR="00000000" w:rsidRPr="00000000">
        <w:rPr>
          <w:sz w:val="22"/>
          <w:szCs w:val="22"/>
          <w:rtl w:val="0"/>
        </w:rPr>
        <w:t xml:space="preserve">Dixit, A., Marthoenis, M., Arafat, S. Y., Sharma, P., &amp; Kar, S. K. (2020). Binge-watching behaviour during COVID-19 pandemic: A cross-sectional, cross-national online survey. </w:t>
      </w:r>
      <w:r w:rsidDel="00000000" w:rsidR="00000000" w:rsidRPr="00000000">
        <w:rPr>
          <w:i w:val="1"/>
          <w:sz w:val="22"/>
          <w:szCs w:val="22"/>
          <w:rtl w:val="0"/>
        </w:rPr>
        <w:t xml:space="preserve">Psychiatry Research, 289</w:t>
      </w:r>
      <w:r w:rsidDel="00000000" w:rsidR="00000000" w:rsidRPr="00000000">
        <w:rPr>
          <w:sz w:val="22"/>
          <w:szCs w:val="22"/>
          <w:rtl w:val="0"/>
        </w:rPr>
        <w:t xml:space="preserve">, 113089. </w:t>
      </w:r>
      <w:hyperlink r:id="rId27">
        <w:r w:rsidDel="00000000" w:rsidR="00000000" w:rsidRPr="00000000">
          <w:rPr>
            <w:color w:val="0000ff"/>
            <w:sz w:val="22"/>
            <w:szCs w:val="22"/>
            <w:u w:val="single"/>
            <w:rtl w:val="0"/>
          </w:rPr>
          <w:t xml:space="preserve">https://doi.org/10.1016/j.psychres.2020.113089</w:t>
        </w:r>
      </w:hyperlink>
      <w:r w:rsidDel="00000000" w:rsidR="00000000" w:rsidRPr="00000000">
        <w:rPr>
          <w:rtl w:val="0"/>
        </w:rPr>
      </w:r>
    </w:p>
    <w:p w:rsidR="00000000" w:rsidDel="00000000" w:rsidP="00000000" w:rsidRDefault="00000000" w:rsidRPr="00000000" w14:paraId="000003A6">
      <w:pPr>
        <w:ind w:left="720" w:hanging="720"/>
        <w:jc w:val="both"/>
        <w:rPr>
          <w:sz w:val="22"/>
          <w:szCs w:val="22"/>
        </w:rPr>
      </w:pPr>
      <w:r w:rsidDel="00000000" w:rsidR="00000000" w:rsidRPr="00000000">
        <w:rPr>
          <w:sz w:val="22"/>
          <w:szCs w:val="22"/>
          <w:rtl w:val="0"/>
        </w:rPr>
        <w:t xml:space="preserve">Erickson, S. E., Dal Cin, S., &amp; Byl, H. (2019). An experimental examination of binge-watching and narrative engagement. </w:t>
      </w:r>
      <w:r w:rsidDel="00000000" w:rsidR="00000000" w:rsidRPr="00000000">
        <w:rPr>
          <w:i w:val="1"/>
          <w:sz w:val="22"/>
          <w:szCs w:val="22"/>
          <w:rtl w:val="0"/>
        </w:rPr>
        <w:t xml:space="preserve">Social Sciences, 8</w:t>
      </w:r>
      <w:r w:rsidDel="00000000" w:rsidR="00000000" w:rsidRPr="00000000">
        <w:rPr>
          <w:sz w:val="22"/>
          <w:szCs w:val="22"/>
          <w:rtl w:val="0"/>
        </w:rPr>
        <w:t xml:space="preserve">(1), 19. </w:t>
      </w:r>
      <w:hyperlink r:id="rId28">
        <w:r w:rsidDel="00000000" w:rsidR="00000000" w:rsidRPr="00000000">
          <w:rPr>
            <w:color w:val="0000ff"/>
            <w:sz w:val="22"/>
            <w:szCs w:val="22"/>
            <w:u w:val="single"/>
            <w:rtl w:val="0"/>
          </w:rPr>
          <w:t xml:space="preserve">https://doi.org/10.3390/socsci8010019</w:t>
        </w:r>
      </w:hyperlink>
      <w:r w:rsidDel="00000000" w:rsidR="00000000" w:rsidRPr="00000000">
        <w:rPr>
          <w:rtl w:val="0"/>
        </w:rPr>
      </w:r>
    </w:p>
    <w:p w:rsidR="00000000" w:rsidDel="00000000" w:rsidP="00000000" w:rsidRDefault="00000000" w:rsidRPr="00000000" w14:paraId="000003A7">
      <w:pPr>
        <w:ind w:left="720" w:hanging="720"/>
        <w:jc w:val="both"/>
        <w:rPr>
          <w:sz w:val="22"/>
          <w:szCs w:val="22"/>
        </w:rPr>
      </w:pPr>
      <w:r w:rsidDel="00000000" w:rsidR="00000000" w:rsidRPr="00000000">
        <w:rPr>
          <w:sz w:val="22"/>
          <w:szCs w:val="22"/>
          <w:rtl w:val="0"/>
        </w:rPr>
        <w:t xml:space="preserve">Field, A. (2018). </w:t>
      </w:r>
      <w:r w:rsidDel="00000000" w:rsidR="00000000" w:rsidRPr="00000000">
        <w:rPr>
          <w:i w:val="1"/>
          <w:sz w:val="22"/>
          <w:szCs w:val="22"/>
          <w:rtl w:val="0"/>
        </w:rPr>
        <w:t xml:space="preserve">Discovering Statistics Using IBM SPSS Statistics</w:t>
      </w:r>
      <w:r w:rsidDel="00000000" w:rsidR="00000000" w:rsidRPr="00000000">
        <w:rPr>
          <w:sz w:val="22"/>
          <w:szCs w:val="22"/>
          <w:rtl w:val="0"/>
        </w:rPr>
        <w:t xml:space="preserve"> (5</w:t>
      </w:r>
      <w:r w:rsidDel="00000000" w:rsidR="00000000" w:rsidRPr="00000000">
        <w:rPr>
          <w:sz w:val="22"/>
          <w:szCs w:val="22"/>
          <w:vertAlign w:val="superscript"/>
          <w:rtl w:val="0"/>
        </w:rPr>
        <w:t xml:space="preserve">th</w:t>
      </w:r>
      <w:r w:rsidDel="00000000" w:rsidR="00000000" w:rsidRPr="00000000">
        <w:rPr>
          <w:sz w:val="22"/>
          <w:szCs w:val="22"/>
          <w:rtl w:val="0"/>
        </w:rPr>
        <w:t xml:space="preserve"> Ed.). SAGE Publications.</w:t>
      </w:r>
    </w:p>
    <w:p w:rsidR="00000000" w:rsidDel="00000000" w:rsidP="00000000" w:rsidRDefault="00000000" w:rsidRPr="00000000" w14:paraId="000003A8">
      <w:pPr>
        <w:ind w:left="720" w:hanging="720"/>
        <w:jc w:val="both"/>
        <w:rPr>
          <w:sz w:val="22"/>
          <w:szCs w:val="22"/>
        </w:rPr>
      </w:pPr>
      <w:r w:rsidDel="00000000" w:rsidR="00000000" w:rsidRPr="00000000">
        <w:rPr>
          <w:sz w:val="22"/>
          <w:szCs w:val="22"/>
          <w:rtl w:val="0"/>
        </w:rPr>
        <w:t xml:space="preserve">Flayelle, M., Maurage, P., Di Lorenzo, K. R., Vögele, K., Gainsbury, S. M., &amp; Billieux, J. (2020). Binge-watching: What do we know so far? A first systematic review of the evidence</w:t>
      </w:r>
      <w:r w:rsidDel="00000000" w:rsidR="00000000" w:rsidRPr="00000000">
        <w:rPr>
          <w:i w:val="1"/>
          <w:sz w:val="22"/>
          <w:szCs w:val="22"/>
          <w:rtl w:val="0"/>
        </w:rPr>
        <w:t xml:space="preserve">. Current Addiction Reports, 7</w:t>
      </w:r>
      <w:r w:rsidDel="00000000" w:rsidR="00000000" w:rsidRPr="00000000">
        <w:rPr>
          <w:sz w:val="22"/>
          <w:szCs w:val="22"/>
          <w:rtl w:val="0"/>
        </w:rPr>
        <w:t xml:space="preserve">(1), 44–60. </w:t>
      </w:r>
      <w:hyperlink r:id="rId29">
        <w:r w:rsidDel="00000000" w:rsidR="00000000" w:rsidRPr="00000000">
          <w:rPr>
            <w:color w:val="0000ff"/>
            <w:sz w:val="22"/>
            <w:szCs w:val="22"/>
            <w:u w:val="single"/>
            <w:rtl w:val="0"/>
          </w:rPr>
          <w:t xml:space="preserve">https://doi.org/10.1007/s40429-020-00299-8</w:t>
        </w:r>
      </w:hyperlink>
      <w:r w:rsidDel="00000000" w:rsidR="00000000" w:rsidRPr="00000000">
        <w:rPr>
          <w:rtl w:val="0"/>
        </w:rPr>
      </w:r>
    </w:p>
    <w:p w:rsidR="00000000" w:rsidDel="00000000" w:rsidP="00000000" w:rsidRDefault="00000000" w:rsidRPr="00000000" w14:paraId="000003A9">
      <w:pPr>
        <w:ind w:left="720" w:hanging="720"/>
        <w:jc w:val="both"/>
        <w:rPr>
          <w:sz w:val="22"/>
          <w:szCs w:val="22"/>
        </w:rPr>
      </w:pPr>
      <w:r w:rsidDel="00000000" w:rsidR="00000000" w:rsidRPr="00000000">
        <w:rPr>
          <w:sz w:val="22"/>
          <w:szCs w:val="22"/>
          <w:rtl w:val="0"/>
        </w:rPr>
        <w:t xml:space="preserve">Flayelle, M., Maurage, P., Vögele, C., Karila, L., &amp; Billieux, J. (2019). Time for a plot twist: Beyond confirmatory approaches to binge-watching research. </w:t>
      </w:r>
      <w:r w:rsidDel="00000000" w:rsidR="00000000" w:rsidRPr="00000000">
        <w:rPr>
          <w:i w:val="1"/>
          <w:sz w:val="22"/>
          <w:szCs w:val="22"/>
          <w:rtl w:val="0"/>
        </w:rPr>
        <w:t xml:space="preserve">Psychology of Popular Media Culture, 8</w:t>
      </w:r>
      <w:r w:rsidDel="00000000" w:rsidR="00000000" w:rsidRPr="00000000">
        <w:rPr>
          <w:sz w:val="22"/>
          <w:szCs w:val="22"/>
          <w:rtl w:val="0"/>
        </w:rPr>
        <w:t xml:space="preserve">(3), 308. </w:t>
      </w:r>
      <w:hyperlink r:id="rId30">
        <w:r w:rsidDel="00000000" w:rsidR="00000000" w:rsidRPr="00000000">
          <w:rPr>
            <w:color w:val="0000ff"/>
            <w:sz w:val="22"/>
            <w:szCs w:val="22"/>
            <w:u w:val="single"/>
            <w:rtl w:val="0"/>
          </w:rPr>
          <w:t xml:space="preserve">https://doi.org/10.1037/ppm0000187</w:t>
        </w:r>
      </w:hyperlink>
      <w:r w:rsidDel="00000000" w:rsidR="00000000" w:rsidRPr="00000000">
        <w:rPr>
          <w:rtl w:val="0"/>
        </w:rPr>
      </w:r>
    </w:p>
    <w:p w:rsidR="00000000" w:rsidDel="00000000" w:rsidP="00000000" w:rsidRDefault="00000000" w:rsidRPr="00000000" w14:paraId="000003AA">
      <w:pPr>
        <w:ind w:left="720" w:hanging="720"/>
        <w:jc w:val="both"/>
        <w:rPr>
          <w:sz w:val="22"/>
          <w:szCs w:val="22"/>
        </w:rPr>
      </w:pPr>
      <w:r w:rsidDel="00000000" w:rsidR="00000000" w:rsidRPr="00000000">
        <w:rPr>
          <w:sz w:val="22"/>
          <w:szCs w:val="22"/>
          <w:rtl w:val="0"/>
        </w:rPr>
        <w:t xml:space="preserve">Folkman, S. (2020). Stress: appraisal and coping. In </w:t>
      </w:r>
      <w:r w:rsidDel="00000000" w:rsidR="00000000" w:rsidRPr="00000000">
        <w:rPr>
          <w:i w:val="1"/>
          <w:sz w:val="22"/>
          <w:szCs w:val="22"/>
          <w:rtl w:val="0"/>
        </w:rPr>
        <w:t xml:space="preserve">Encyclopedia of Behavioural Medicine</w:t>
      </w:r>
      <w:r w:rsidDel="00000000" w:rsidR="00000000" w:rsidRPr="00000000">
        <w:rPr>
          <w:sz w:val="22"/>
          <w:szCs w:val="22"/>
          <w:rtl w:val="0"/>
        </w:rPr>
        <w:t xml:space="preserve"> (pp. 2177–2179). Springer International Publishing. </w:t>
      </w:r>
      <w:hyperlink r:id="rId31">
        <w:r w:rsidDel="00000000" w:rsidR="00000000" w:rsidRPr="00000000">
          <w:rPr>
            <w:color w:val="0000ff"/>
            <w:sz w:val="22"/>
            <w:szCs w:val="22"/>
            <w:u w:val="single"/>
            <w:rtl w:val="0"/>
          </w:rPr>
          <w:t xml:space="preserve">https://doi.org/10.1007/978-3-030-39903-0_215</w:t>
        </w:r>
      </w:hyperlink>
      <w:r w:rsidDel="00000000" w:rsidR="00000000" w:rsidRPr="00000000">
        <w:rPr>
          <w:rtl w:val="0"/>
        </w:rPr>
      </w:r>
    </w:p>
    <w:p w:rsidR="00000000" w:rsidDel="00000000" w:rsidP="00000000" w:rsidRDefault="00000000" w:rsidRPr="00000000" w14:paraId="000003AB">
      <w:pPr>
        <w:ind w:left="720" w:hanging="720"/>
        <w:jc w:val="both"/>
        <w:rPr>
          <w:sz w:val="22"/>
          <w:szCs w:val="22"/>
        </w:rPr>
      </w:pPr>
      <w:r w:rsidDel="00000000" w:rsidR="00000000" w:rsidRPr="00000000">
        <w:rPr>
          <w:sz w:val="22"/>
          <w:szCs w:val="22"/>
          <w:rtl w:val="0"/>
        </w:rPr>
        <w:t xml:space="preserve">Forte, G., Favieri, F., Tedeschi, D., &amp; Casagrande, M. (2021). Binge-watching: Development and validation of the binge-watching addiction questionnaire. </w:t>
      </w:r>
      <w:r w:rsidDel="00000000" w:rsidR="00000000" w:rsidRPr="00000000">
        <w:rPr>
          <w:i w:val="1"/>
          <w:sz w:val="22"/>
          <w:szCs w:val="22"/>
          <w:rtl w:val="0"/>
        </w:rPr>
        <w:t xml:space="preserve">Behavioural Sciences, 11</w:t>
      </w:r>
      <w:r w:rsidDel="00000000" w:rsidR="00000000" w:rsidRPr="00000000">
        <w:rPr>
          <w:sz w:val="22"/>
          <w:szCs w:val="22"/>
          <w:rtl w:val="0"/>
        </w:rPr>
        <w:t xml:space="preserve">(2), 27. </w:t>
      </w:r>
      <w:hyperlink r:id="rId32">
        <w:r w:rsidDel="00000000" w:rsidR="00000000" w:rsidRPr="00000000">
          <w:rPr>
            <w:color w:val="0000ff"/>
            <w:sz w:val="22"/>
            <w:szCs w:val="22"/>
            <w:u w:val="single"/>
            <w:rtl w:val="0"/>
          </w:rPr>
          <w:t xml:space="preserve">https://doi.org/10.3390/bs11020027</w:t>
        </w:r>
      </w:hyperlink>
      <w:r w:rsidDel="00000000" w:rsidR="00000000" w:rsidRPr="00000000">
        <w:rPr>
          <w:rtl w:val="0"/>
        </w:rPr>
      </w:r>
    </w:p>
    <w:p w:rsidR="00000000" w:rsidDel="00000000" w:rsidP="00000000" w:rsidRDefault="00000000" w:rsidRPr="00000000" w14:paraId="000003AC">
      <w:pPr>
        <w:ind w:left="720" w:hanging="720"/>
        <w:jc w:val="both"/>
        <w:rPr>
          <w:sz w:val="22"/>
          <w:szCs w:val="22"/>
        </w:rPr>
      </w:pPr>
      <w:r w:rsidDel="00000000" w:rsidR="00000000" w:rsidRPr="00000000">
        <w:rPr>
          <w:sz w:val="22"/>
          <w:szCs w:val="22"/>
          <w:rtl w:val="0"/>
        </w:rPr>
        <w:t xml:space="preserve">Fricker, R. D. (2016). Sampling methods for online surveys. In N. G. Fielding, G. Blank, &amp; R. M. Lee (Eds.), </w:t>
      </w:r>
      <w:r w:rsidDel="00000000" w:rsidR="00000000" w:rsidRPr="00000000">
        <w:rPr>
          <w:i w:val="1"/>
          <w:sz w:val="22"/>
          <w:szCs w:val="22"/>
          <w:rtl w:val="0"/>
        </w:rPr>
        <w:t xml:space="preserve">The SAGE Handbook of Online Research Methods</w:t>
      </w:r>
      <w:r w:rsidDel="00000000" w:rsidR="00000000" w:rsidRPr="00000000">
        <w:rPr>
          <w:sz w:val="22"/>
          <w:szCs w:val="22"/>
          <w:rtl w:val="0"/>
        </w:rPr>
        <w:t xml:space="preserve"> (2</w:t>
      </w:r>
      <w:r w:rsidDel="00000000" w:rsidR="00000000" w:rsidRPr="00000000">
        <w:rPr>
          <w:sz w:val="22"/>
          <w:szCs w:val="22"/>
          <w:vertAlign w:val="superscript"/>
          <w:rtl w:val="0"/>
        </w:rPr>
        <w:t xml:space="preserve">nd</w:t>
      </w:r>
      <w:r w:rsidDel="00000000" w:rsidR="00000000" w:rsidRPr="00000000">
        <w:rPr>
          <w:sz w:val="22"/>
          <w:szCs w:val="22"/>
          <w:rtl w:val="0"/>
        </w:rPr>
        <w:t xml:space="preserve"> Ed.), pp. 162-183. SAGE.</w:t>
      </w:r>
    </w:p>
    <w:p w:rsidR="00000000" w:rsidDel="00000000" w:rsidP="00000000" w:rsidRDefault="00000000" w:rsidRPr="00000000" w14:paraId="000003AD">
      <w:pPr>
        <w:ind w:left="720" w:hanging="720"/>
        <w:jc w:val="both"/>
        <w:rPr>
          <w:sz w:val="22"/>
          <w:szCs w:val="22"/>
        </w:rPr>
      </w:pPr>
      <w:r w:rsidDel="00000000" w:rsidR="00000000" w:rsidRPr="00000000">
        <w:rPr>
          <w:sz w:val="22"/>
          <w:szCs w:val="22"/>
          <w:rtl w:val="0"/>
        </w:rPr>
        <w:t xml:space="preserve">Gabbiadini, A., Baldissarri, C., Valtorta, R. R., Durante, F., &amp; Mari, S. (2021). Loneliness, escapism, and identification with media characters: An exploration of the psychological factors underlying binge-watching tendency. </w:t>
      </w:r>
      <w:r w:rsidDel="00000000" w:rsidR="00000000" w:rsidRPr="00000000">
        <w:rPr>
          <w:i w:val="1"/>
          <w:sz w:val="22"/>
          <w:szCs w:val="22"/>
          <w:rtl w:val="0"/>
        </w:rPr>
        <w:t xml:space="preserve">Frontiers in Psychology, 12</w:t>
      </w:r>
      <w:r w:rsidDel="00000000" w:rsidR="00000000" w:rsidRPr="00000000">
        <w:rPr>
          <w:sz w:val="22"/>
          <w:szCs w:val="22"/>
          <w:rtl w:val="0"/>
        </w:rPr>
        <w:t xml:space="preserve">. </w:t>
      </w:r>
      <w:hyperlink r:id="rId33">
        <w:r w:rsidDel="00000000" w:rsidR="00000000" w:rsidRPr="00000000">
          <w:rPr>
            <w:color w:val="0000ff"/>
            <w:sz w:val="22"/>
            <w:szCs w:val="22"/>
            <w:u w:val="single"/>
            <w:rtl w:val="0"/>
          </w:rPr>
          <w:t xml:space="preserve">https://doi.org/10.3389/fpsyg.2021.785970</w:t>
        </w:r>
      </w:hyperlink>
      <w:r w:rsidDel="00000000" w:rsidR="00000000" w:rsidRPr="00000000">
        <w:rPr>
          <w:rtl w:val="0"/>
        </w:rPr>
      </w:r>
    </w:p>
    <w:p w:rsidR="00000000" w:rsidDel="00000000" w:rsidP="00000000" w:rsidRDefault="00000000" w:rsidRPr="00000000" w14:paraId="000003AE">
      <w:pPr>
        <w:ind w:left="720" w:hanging="720"/>
        <w:jc w:val="both"/>
        <w:rPr>
          <w:sz w:val="22"/>
          <w:szCs w:val="22"/>
        </w:rPr>
      </w:pPr>
      <w:r w:rsidDel="00000000" w:rsidR="00000000" w:rsidRPr="00000000">
        <w:rPr>
          <w:sz w:val="22"/>
          <w:szCs w:val="22"/>
          <w:rtl w:val="0"/>
        </w:rPr>
        <w:t xml:space="preserve">Gangadharbatla, H., Ackerman, C., &amp; Bamford, A. (2019). Antecedents and consequences of binge-watching for college students. </w:t>
      </w:r>
      <w:r w:rsidDel="00000000" w:rsidR="00000000" w:rsidRPr="00000000">
        <w:rPr>
          <w:i w:val="1"/>
          <w:sz w:val="22"/>
          <w:szCs w:val="22"/>
          <w:rtl w:val="0"/>
        </w:rPr>
        <w:t xml:space="preserve">First Monday</w:t>
      </w:r>
      <w:r w:rsidDel="00000000" w:rsidR="00000000" w:rsidRPr="00000000">
        <w:rPr>
          <w:sz w:val="22"/>
          <w:szCs w:val="22"/>
          <w:rtl w:val="0"/>
        </w:rPr>
        <w:t xml:space="preserve">, </w:t>
      </w:r>
      <w:r w:rsidDel="00000000" w:rsidR="00000000" w:rsidRPr="00000000">
        <w:rPr>
          <w:i w:val="1"/>
          <w:sz w:val="22"/>
          <w:szCs w:val="22"/>
          <w:rtl w:val="0"/>
        </w:rPr>
        <w:t xml:space="preserve">24</w:t>
      </w:r>
      <w:r w:rsidDel="00000000" w:rsidR="00000000" w:rsidRPr="00000000">
        <w:rPr>
          <w:sz w:val="22"/>
          <w:szCs w:val="22"/>
          <w:rtl w:val="0"/>
        </w:rPr>
        <w:t xml:space="preserve">(12), </w:t>
      </w:r>
      <w:hyperlink r:id="rId34">
        <w:r w:rsidDel="00000000" w:rsidR="00000000" w:rsidRPr="00000000">
          <w:rPr>
            <w:color w:val="0000ff"/>
            <w:sz w:val="22"/>
            <w:szCs w:val="22"/>
            <w:u w:val="single"/>
            <w:rtl w:val="0"/>
          </w:rPr>
          <w:t xml:space="preserve">https://doi.org/10.5210/fm.v24i12.9667</w:t>
        </w:r>
      </w:hyperlink>
      <w:r w:rsidDel="00000000" w:rsidR="00000000" w:rsidRPr="00000000">
        <w:rPr>
          <w:rtl w:val="0"/>
        </w:rPr>
      </w:r>
    </w:p>
    <w:p w:rsidR="00000000" w:rsidDel="00000000" w:rsidP="00000000" w:rsidRDefault="00000000" w:rsidRPr="00000000" w14:paraId="000003AF">
      <w:pPr>
        <w:ind w:left="720" w:hanging="720"/>
        <w:jc w:val="both"/>
        <w:rPr>
          <w:sz w:val="22"/>
          <w:szCs w:val="22"/>
        </w:rPr>
      </w:pPr>
      <w:r w:rsidDel="00000000" w:rsidR="00000000" w:rsidRPr="00000000">
        <w:rPr>
          <w:sz w:val="22"/>
          <w:szCs w:val="22"/>
          <w:rtl w:val="0"/>
        </w:rPr>
        <w:t xml:space="preserve">Georgiev, D. (2023</w:t>
      </w:r>
      <w:r w:rsidDel="00000000" w:rsidR="00000000" w:rsidRPr="00000000">
        <w:rPr>
          <w:sz w:val="22"/>
          <w:szCs w:val="22"/>
          <w:vertAlign w:val="superscript"/>
          <w:rtl w:val="0"/>
        </w:rPr>
        <w:t xml:space="preserve">a</w:t>
      </w:r>
      <w:r w:rsidDel="00000000" w:rsidR="00000000" w:rsidRPr="00000000">
        <w:rPr>
          <w:sz w:val="22"/>
          <w:szCs w:val="22"/>
          <w:rtl w:val="0"/>
        </w:rPr>
        <w:t xml:space="preserve">). 15 Amazon Prime statistics to show how big it is in 2023. </w:t>
      </w:r>
      <w:r w:rsidDel="00000000" w:rsidR="00000000" w:rsidRPr="00000000">
        <w:rPr>
          <w:i w:val="1"/>
          <w:sz w:val="22"/>
          <w:szCs w:val="22"/>
          <w:rtl w:val="0"/>
        </w:rPr>
        <w:t xml:space="preserve">Techjury.net.</w:t>
      </w:r>
      <w:r w:rsidDel="00000000" w:rsidR="00000000" w:rsidRPr="00000000">
        <w:rPr>
          <w:sz w:val="22"/>
          <w:szCs w:val="22"/>
          <w:rtl w:val="0"/>
        </w:rPr>
        <w:t xml:space="preserve"> </w:t>
      </w:r>
      <w:hyperlink r:id="rId35">
        <w:r w:rsidDel="00000000" w:rsidR="00000000" w:rsidRPr="00000000">
          <w:rPr>
            <w:color w:val="0000ff"/>
            <w:sz w:val="22"/>
            <w:szCs w:val="22"/>
            <w:u w:val="single"/>
            <w:rtl w:val="0"/>
          </w:rPr>
          <w:t xml:space="preserve">https://techjury.net/blog/amazon-prime-statistics</w:t>
        </w:r>
      </w:hyperlink>
      <w:r w:rsidDel="00000000" w:rsidR="00000000" w:rsidRPr="00000000">
        <w:rPr>
          <w:rtl w:val="0"/>
        </w:rPr>
      </w:r>
    </w:p>
    <w:p w:rsidR="00000000" w:rsidDel="00000000" w:rsidP="00000000" w:rsidRDefault="00000000" w:rsidRPr="00000000" w14:paraId="000003B0">
      <w:pPr>
        <w:ind w:left="720" w:hanging="720"/>
        <w:jc w:val="both"/>
        <w:rPr>
          <w:sz w:val="22"/>
          <w:szCs w:val="22"/>
        </w:rPr>
      </w:pPr>
      <w:r w:rsidDel="00000000" w:rsidR="00000000" w:rsidRPr="00000000">
        <w:rPr>
          <w:sz w:val="22"/>
          <w:szCs w:val="22"/>
          <w:rtl w:val="0"/>
        </w:rPr>
        <w:t xml:space="preserve">Georgiev, D. (2023</w:t>
      </w:r>
      <w:r w:rsidDel="00000000" w:rsidR="00000000" w:rsidRPr="00000000">
        <w:rPr>
          <w:sz w:val="22"/>
          <w:szCs w:val="22"/>
          <w:vertAlign w:val="superscript"/>
          <w:rtl w:val="0"/>
        </w:rPr>
        <w:t xml:space="preserve">b</w:t>
      </w:r>
      <w:r w:rsidDel="00000000" w:rsidR="00000000" w:rsidRPr="00000000">
        <w:rPr>
          <w:sz w:val="22"/>
          <w:szCs w:val="22"/>
          <w:rtl w:val="0"/>
        </w:rPr>
        <w:t xml:space="preserve">). 16 Crucial Disney Plus statistics you need to know in 2023. </w:t>
      </w:r>
      <w:r w:rsidDel="00000000" w:rsidR="00000000" w:rsidRPr="00000000">
        <w:rPr>
          <w:i w:val="1"/>
          <w:sz w:val="22"/>
          <w:szCs w:val="22"/>
          <w:rtl w:val="0"/>
        </w:rPr>
        <w:t xml:space="preserve">Techjury.net</w:t>
      </w:r>
      <w:r w:rsidDel="00000000" w:rsidR="00000000" w:rsidRPr="00000000">
        <w:rPr>
          <w:sz w:val="22"/>
          <w:szCs w:val="22"/>
          <w:rtl w:val="0"/>
        </w:rPr>
        <w:t xml:space="preserve">. </w:t>
      </w:r>
      <w:hyperlink r:id="rId36">
        <w:r w:rsidDel="00000000" w:rsidR="00000000" w:rsidRPr="00000000">
          <w:rPr>
            <w:color w:val="0000ff"/>
            <w:sz w:val="22"/>
            <w:szCs w:val="22"/>
            <w:u w:val="single"/>
            <w:rtl w:val="0"/>
          </w:rPr>
          <w:t xml:space="preserve">https://techjury.net/blog/disney-plus-statistics</w:t>
        </w:r>
      </w:hyperlink>
      <w:r w:rsidDel="00000000" w:rsidR="00000000" w:rsidRPr="00000000">
        <w:rPr>
          <w:rtl w:val="0"/>
        </w:rPr>
      </w:r>
    </w:p>
    <w:p w:rsidR="00000000" w:rsidDel="00000000" w:rsidP="00000000" w:rsidRDefault="00000000" w:rsidRPr="00000000" w14:paraId="000003B1">
      <w:pPr>
        <w:ind w:left="720" w:hanging="720"/>
        <w:jc w:val="both"/>
        <w:rPr>
          <w:sz w:val="22"/>
          <w:szCs w:val="22"/>
        </w:rPr>
      </w:pPr>
      <w:r w:rsidDel="00000000" w:rsidR="00000000" w:rsidRPr="00000000">
        <w:rPr>
          <w:sz w:val="22"/>
          <w:szCs w:val="22"/>
          <w:rtl w:val="0"/>
        </w:rPr>
        <w:t xml:space="preserve">Granow, V. C., Reinecke, L., &amp; Ziegele, M. (2018). Binge-watching and psychological well-being: Media use between lack of control and perceived autonomy. </w:t>
      </w:r>
      <w:r w:rsidDel="00000000" w:rsidR="00000000" w:rsidRPr="00000000">
        <w:rPr>
          <w:i w:val="1"/>
          <w:sz w:val="22"/>
          <w:szCs w:val="22"/>
          <w:rtl w:val="0"/>
        </w:rPr>
        <w:t xml:space="preserve">Communication Research Reports, 35</w:t>
      </w:r>
      <w:r w:rsidDel="00000000" w:rsidR="00000000" w:rsidRPr="00000000">
        <w:rPr>
          <w:sz w:val="22"/>
          <w:szCs w:val="22"/>
          <w:rtl w:val="0"/>
        </w:rPr>
        <w:t xml:space="preserve">(5), 392-401. </w:t>
      </w:r>
      <w:hyperlink r:id="rId37">
        <w:r w:rsidDel="00000000" w:rsidR="00000000" w:rsidRPr="00000000">
          <w:rPr>
            <w:color w:val="0000ff"/>
            <w:sz w:val="22"/>
            <w:szCs w:val="22"/>
            <w:u w:val="single"/>
            <w:rtl w:val="0"/>
          </w:rPr>
          <w:t xml:space="preserve">https://doi.org/10.1080/08824096.2018.1525347</w:t>
        </w:r>
      </w:hyperlink>
      <w:r w:rsidDel="00000000" w:rsidR="00000000" w:rsidRPr="00000000">
        <w:rPr>
          <w:rtl w:val="0"/>
        </w:rPr>
      </w:r>
    </w:p>
    <w:p w:rsidR="00000000" w:rsidDel="00000000" w:rsidP="00000000" w:rsidRDefault="00000000" w:rsidRPr="00000000" w14:paraId="000003B2">
      <w:pPr>
        <w:ind w:left="720" w:hanging="720"/>
        <w:jc w:val="both"/>
        <w:rPr>
          <w:sz w:val="22"/>
          <w:szCs w:val="22"/>
        </w:rPr>
      </w:pPr>
      <w:r w:rsidDel="00000000" w:rsidR="00000000" w:rsidRPr="00000000">
        <w:rPr>
          <w:sz w:val="22"/>
          <w:szCs w:val="22"/>
          <w:rtl w:val="0"/>
        </w:rPr>
        <w:t xml:space="preserve">Green, K. E. (1996). Sociodemographic factors and mail survey response. </w:t>
      </w:r>
      <w:r w:rsidDel="00000000" w:rsidR="00000000" w:rsidRPr="00000000">
        <w:rPr>
          <w:i w:val="1"/>
          <w:sz w:val="22"/>
          <w:szCs w:val="22"/>
          <w:rtl w:val="0"/>
        </w:rPr>
        <w:t xml:space="preserve">Psychology &amp; Marketing, 13</w:t>
      </w:r>
      <w:r w:rsidDel="00000000" w:rsidR="00000000" w:rsidRPr="00000000">
        <w:rPr>
          <w:sz w:val="22"/>
          <w:szCs w:val="22"/>
          <w:rtl w:val="0"/>
        </w:rPr>
        <w:t xml:space="preserve">(2), 171–184. </w:t>
      </w:r>
      <w:hyperlink r:id="rId38">
        <w:r w:rsidDel="00000000" w:rsidR="00000000" w:rsidRPr="00000000">
          <w:rPr>
            <w:color w:val="0000ff"/>
            <w:sz w:val="22"/>
            <w:szCs w:val="22"/>
            <w:u w:val="single"/>
            <w:rtl w:val="0"/>
          </w:rPr>
          <w:t xml:space="preserve">https://doi.org/10.1002/(SICI)1520-6793(199602)13:2&lt;171::AID-MAR4&gt;3.0.CO;2-C</w:t>
        </w:r>
      </w:hyperlink>
      <w:r w:rsidDel="00000000" w:rsidR="00000000" w:rsidRPr="00000000">
        <w:rPr>
          <w:rtl w:val="0"/>
        </w:rPr>
      </w:r>
    </w:p>
    <w:p w:rsidR="00000000" w:rsidDel="00000000" w:rsidP="00000000" w:rsidRDefault="00000000" w:rsidRPr="00000000" w14:paraId="000003B3">
      <w:pPr>
        <w:ind w:left="720" w:hanging="720"/>
        <w:jc w:val="both"/>
        <w:rPr>
          <w:sz w:val="22"/>
          <w:szCs w:val="22"/>
        </w:rPr>
      </w:pPr>
      <w:r w:rsidDel="00000000" w:rsidR="00000000" w:rsidRPr="00000000">
        <w:rPr>
          <w:sz w:val="22"/>
          <w:szCs w:val="22"/>
          <w:rtl w:val="0"/>
        </w:rPr>
        <w:t xml:space="preserve">Green, S. B. (1991). How many subjects does it take to do a regression analysis? </w:t>
      </w:r>
      <w:r w:rsidDel="00000000" w:rsidR="00000000" w:rsidRPr="00000000">
        <w:rPr>
          <w:i w:val="1"/>
          <w:sz w:val="22"/>
          <w:szCs w:val="22"/>
          <w:rtl w:val="0"/>
        </w:rPr>
        <w:t xml:space="preserve">Multivariate Behavioural Research, 26</w:t>
      </w:r>
      <w:r w:rsidDel="00000000" w:rsidR="00000000" w:rsidRPr="00000000">
        <w:rPr>
          <w:sz w:val="22"/>
          <w:szCs w:val="22"/>
          <w:rtl w:val="0"/>
        </w:rPr>
        <w:t xml:space="preserve">(3), 499–510. </w:t>
      </w:r>
      <w:hyperlink r:id="rId39">
        <w:r w:rsidDel="00000000" w:rsidR="00000000" w:rsidRPr="00000000">
          <w:rPr>
            <w:color w:val="0000ff"/>
            <w:sz w:val="22"/>
            <w:szCs w:val="22"/>
            <w:u w:val="single"/>
            <w:rtl w:val="0"/>
          </w:rPr>
          <w:t xml:space="preserve">https://doi.org/10.1207/s15327906mbr2603_7</w:t>
        </w:r>
      </w:hyperlink>
      <w:r w:rsidDel="00000000" w:rsidR="00000000" w:rsidRPr="00000000">
        <w:rPr>
          <w:rtl w:val="0"/>
        </w:rPr>
      </w:r>
    </w:p>
    <w:p w:rsidR="00000000" w:rsidDel="00000000" w:rsidP="00000000" w:rsidRDefault="00000000" w:rsidRPr="00000000" w14:paraId="000003B4">
      <w:pPr>
        <w:ind w:left="720" w:hanging="720"/>
        <w:jc w:val="both"/>
        <w:rPr>
          <w:sz w:val="22"/>
          <w:szCs w:val="22"/>
        </w:rPr>
      </w:pPr>
      <w:r w:rsidDel="00000000" w:rsidR="00000000" w:rsidRPr="00000000">
        <w:rPr>
          <w:sz w:val="22"/>
          <w:szCs w:val="22"/>
          <w:rtl w:val="0"/>
        </w:rPr>
        <w:t xml:space="preserve">Hair, J. F., Risher, J. J., Sarstedt, M., &amp; Ringle, C. M. (2019). When to use and how to report the results of PLS-SEM. </w:t>
      </w:r>
      <w:r w:rsidDel="00000000" w:rsidR="00000000" w:rsidRPr="00000000">
        <w:rPr>
          <w:i w:val="1"/>
          <w:sz w:val="22"/>
          <w:szCs w:val="22"/>
          <w:rtl w:val="0"/>
        </w:rPr>
        <w:t xml:space="preserve">European Business Review, 31</w:t>
      </w:r>
      <w:r w:rsidDel="00000000" w:rsidR="00000000" w:rsidRPr="00000000">
        <w:rPr>
          <w:sz w:val="22"/>
          <w:szCs w:val="22"/>
          <w:rtl w:val="0"/>
        </w:rPr>
        <w:t xml:space="preserve">(1), 2-24. </w:t>
      </w:r>
      <w:hyperlink r:id="rId40">
        <w:r w:rsidDel="00000000" w:rsidR="00000000" w:rsidRPr="00000000">
          <w:rPr>
            <w:color w:val="0000ff"/>
            <w:sz w:val="22"/>
            <w:szCs w:val="22"/>
            <w:u w:val="single"/>
            <w:rtl w:val="0"/>
          </w:rPr>
          <w:t xml:space="preserve">https://doi.org/10.1108/EBR-11-2018-0203</w:t>
        </w:r>
      </w:hyperlink>
      <w:r w:rsidDel="00000000" w:rsidR="00000000" w:rsidRPr="00000000">
        <w:rPr>
          <w:rtl w:val="0"/>
        </w:rPr>
      </w:r>
    </w:p>
    <w:p w:rsidR="00000000" w:rsidDel="00000000" w:rsidP="00000000" w:rsidRDefault="00000000" w:rsidRPr="00000000" w14:paraId="000003B5">
      <w:pPr>
        <w:ind w:left="720" w:hanging="720"/>
        <w:jc w:val="both"/>
        <w:rPr>
          <w:sz w:val="22"/>
          <w:szCs w:val="22"/>
        </w:rPr>
      </w:pPr>
      <w:r w:rsidDel="00000000" w:rsidR="00000000" w:rsidRPr="00000000">
        <w:rPr>
          <w:sz w:val="22"/>
          <w:szCs w:val="22"/>
          <w:rtl w:val="0"/>
        </w:rPr>
        <w:t xml:space="preserve">Halfmann, A., &amp; Reinecke, L. (2021). Binge-watching as case of escapist entertainment use. In P. Vorderer &amp; C. Klimmt (Eds.), </w:t>
      </w:r>
      <w:r w:rsidDel="00000000" w:rsidR="00000000" w:rsidRPr="00000000">
        <w:rPr>
          <w:i w:val="1"/>
          <w:sz w:val="22"/>
          <w:szCs w:val="22"/>
          <w:rtl w:val="0"/>
        </w:rPr>
        <w:t xml:space="preserve">The Oxford Handbook of Entertainment Theory</w:t>
      </w:r>
      <w:r w:rsidDel="00000000" w:rsidR="00000000" w:rsidRPr="00000000">
        <w:rPr>
          <w:sz w:val="22"/>
          <w:szCs w:val="22"/>
          <w:rtl w:val="0"/>
        </w:rPr>
        <w:t xml:space="preserve">, (pp. 181-203). Oxford University Press. </w:t>
      </w:r>
      <w:hyperlink r:id="rId41">
        <w:r w:rsidDel="00000000" w:rsidR="00000000" w:rsidRPr="00000000">
          <w:rPr>
            <w:color w:val="0000ff"/>
            <w:sz w:val="22"/>
            <w:szCs w:val="22"/>
            <w:u w:val="single"/>
            <w:rtl w:val="0"/>
          </w:rPr>
          <w:t xml:space="preserve">https://doi.org/10.13140/RG.2.2.24690.25288</w:t>
        </w:r>
      </w:hyperlink>
      <w:r w:rsidDel="00000000" w:rsidR="00000000" w:rsidRPr="00000000">
        <w:rPr>
          <w:rtl w:val="0"/>
        </w:rPr>
      </w:r>
    </w:p>
    <w:p w:rsidR="00000000" w:rsidDel="00000000" w:rsidP="00000000" w:rsidRDefault="00000000" w:rsidRPr="00000000" w14:paraId="000003B6">
      <w:pPr>
        <w:ind w:left="720" w:hanging="720"/>
        <w:jc w:val="both"/>
        <w:rPr>
          <w:sz w:val="22"/>
          <w:szCs w:val="22"/>
        </w:rPr>
      </w:pPr>
      <w:r w:rsidDel="00000000" w:rsidR="00000000" w:rsidRPr="00000000">
        <w:rPr>
          <w:sz w:val="22"/>
          <w:szCs w:val="22"/>
          <w:rtl w:val="0"/>
        </w:rPr>
        <w:t xml:space="preserve">Horvath, J. C., Horton, A. J., Lodge, J. M., &amp; Hattie, J. A. (2017). The impact of binge-watching on memory and perceived comprehension. </w:t>
      </w:r>
      <w:r w:rsidDel="00000000" w:rsidR="00000000" w:rsidRPr="00000000">
        <w:rPr>
          <w:i w:val="1"/>
          <w:sz w:val="22"/>
          <w:szCs w:val="22"/>
          <w:rtl w:val="0"/>
        </w:rPr>
        <w:t xml:space="preserve">First Monday</w:t>
      </w:r>
      <w:r w:rsidDel="00000000" w:rsidR="00000000" w:rsidRPr="00000000">
        <w:rPr>
          <w:sz w:val="22"/>
          <w:szCs w:val="22"/>
          <w:rtl w:val="0"/>
        </w:rPr>
        <w:t xml:space="preserve">. </w:t>
      </w:r>
      <w:hyperlink r:id="rId42">
        <w:r w:rsidDel="00000000" w:rsidR="00000000" w:rsidRPr="00000000">
          <w:rPr>
            <w:color w:val="0000ff"/>
            <w:sz w:val="22"/>
            <w:szCs w:val="22"/>
            <w:u w:val="single"/>
            <w:rtl w:val="0"/>
          </w:rPr>
          <w:t xml:space="preserve">https://doi.org/10.5210/fm.v22i19.7729</w:t>
        </w:r>
      </w:hyperlink>
      <w:r w:rsidDel="00000000" w:rsidR="00000000" w:rsidRPr="00000000">
        <w:rPr>
          <w:rtl w:val="0"/>
        </w:rPr>
      </w:r>
    </w:p>
    <w:p w:rsidR="00000000" w:rsidDel="00000000" w:rsidP="00000000" w:rsidRDefault="00000000" w:rsidRPr="00000000" w14:paraId="000003B7">
      <w:pPr>
        <w:ind w:left="720" w:hanging="720"/>
        <w:jc w:val="both"/>
        <w:rPr>
          <w:sz w:val="22"/>
          <w:szCs w:val="22"/>
        </w:rPr>
      </w:pPr>
      <w:r w:rsidDel="00000000" w:rsidR="00000000" w:rsidRPr="00000000">
        <w:rPr>
          <w:sz w:val="22"/>
          <w:szCs w:val="22"/>
          <w:rtl w:val="0"/>
        </w:rPr>
        <w:t xml:space="preserve">Hutchins, N., Allen, A., Curran, M., &amp; Kennis-Dyman, L. (2021). Social anxiety and online social interaction. </w:t>
      </w:r>
      <w:r w:rsidDel="00000000" w:rsidR="00000000" w:rsidRPr="00000000">
        <w:rPr>
          <w:i w:val="1"/>
          <w:sz w:val="22"/>
          <w:szCs w:val="22"/>
          <w:rtl w:val="0"/>
        </w:rPr>
        <w:t xml:space="preserve">Australian Psychologist 56</w:t>
      </w:r>
      <w:r w:rsidDel="00000000" w:rsidR="00000000" w:rsidRPr="00000000">
        <w:rPr>
          <w:sz w:val="22"/>
          <w:szCs w:val="22"/>
          <w:rtl w:val="0"/>
        </w:rPr>
        <w:t xml:space="preserve">(2), 142–153. </w:t>
      </w:r>
      <w:hyperlink r:id="rId43">
        <w:r w:rsidDel="00000000" w:rsidR="00000000" w:rsidRPr="00000000">
          <w:rPr>
            <w:color w:val="0000ff"/>
            <w:sz w:val="22"/>
            <w:szCs w:val="22"/>
            <w:u w:val="single"/>
            <w:rtl w:val="0"/>
          </w:rPr>
          <w:t xml:space="preserve">https://doi.org/10.1080/00050067.2021.1890977</w:t>
        </w:r>
      </w:hyperlink>
      <w:r w:rsidDel="00000000" w:rsidR="00000000" w:rsidRPr="00000000">
        <w:rPr>
          <w:rtl w:val="0"/>
        </w:rPr>
      </w:r>
    </w:p>
    <w:p w:rsidR="00000000" w:rsidDel="00000000" w:rsidP="00000000" w:rsidRDefault="00000000" w:rsidRPr="00000000" w14:paraId="000003B8">
      <w:pPr>
        <w:ind w:left="720" w:hanging="720"/>
        <w:jc w:val="both"/>
        <w:rPr>
          <w:sz w:val="22"/>
          <w:szCs w:val="22"/>
        </w:rPr>
      </w:pPr>
      <w:r w:rsidDel="00000000" w:rsidR="00000000" w:rsidRPr="00000000">
        <w:rPr>
          <w:sz w:val="22"/>
          <w:szCs w:val="22"/>
          <w:rtl w:val="0"/>
        </w:rPr>
        <w:t xml:space="preserve">Ilyas, U., &amp; Qureshi, A. S. (2020). Relationship between binge watching and cognitive functioning among university students in Lahore, Pakistan. </w:t>
      </w:r>
      <w:r w:rsidDel="00000000" w:rsidR="00000000" w:rsidRPr="00000000">
        <w:rPr>
          <w:i w:val="1"/>
          <w:sz w:val="22"/>
          <w:szCs w:val="22"/>
          <w:rtl w:val="0"/>
        </w:rPr>
        <w:t xml:space="preserve">Rawal Medical Journal, 45</w:t>
      </w:r>
      <w:r w:rsidDel="00000000" w:rsidR="00000000" w:rsidRPr="00000000">
        <w:rPr>
          <w:sz w:val="22"/>
          <w:szCs w:val="22"/>
          <w:rtl w:val="0"/>
        </w:rPr>
        <w:t xml:space="preserve">(3), 702-702. </w:t>
      </w:r>
      <w:hyperlink r:id="rId44">
        <w:r w:rsidDel="00000000" w:rsidR="00000000" w:rsidRPr="00000000">
          <w:rPr>
            <w:color w:val="0000ff"/>
            <w:sz w:val="22"/>
            <w:szCs w:val="22"/>
            <w:u w:val="single"/>
            <w:rtl w:val="0"/>
          </w:rPr>
          <w:t xml:space="preserve">https://www.researchgate.net/publication/344027121</w:t>
        </w:r>
      </w:hyperlink>
      <w:r w:rsidDel="00000000" w:rsidR="00000000" w:rsidRPr="00000000">
        <w:rPr>
          <w:rtl w:val="0"/>
        </w:rPr>
      </w:r>
    </w:p>
    <w:p w:rsidR="00000000" w:rsidDel="00000000" w:rsidP="00000000" w:rsidRDefault="00000000" w:rsidRPr="00000000" w14:paraId="000003B9">
      <w:pPr>
        <w:ind w:left="720" w:hanging="720"/>
        <w:jc w:val="both"/>
        <w:rPr>
          <w:sz w:val="22"/>
          <w:szCs w:val="22"/>
        </w:rPr>
      </w:pPr>
      <w:r w:rsidDel="00000000" w:rsidR="00000000" w:rsidRPr="00000000">
        <w:rPr>
          <w:sz w:val="22"/>
          <w:szCs w:val="22"/>
          <w:rtl w:val="0"/>
        </w:rPr>
        <w:t xml:space="preserve">Katz, E., Blumler, J. G., &amp; Gurevitch, M. (1973). Uses and gratifications research. </w:t>
      </w:r>
      <w:r w:rsidDel="00000000" w:rsidR="00000000" w:rsidRPr="00000000">
        <w:rPr>
          <w:i w:val="1"/>
          <w:sz w:val="22"/>
          <w:szCs w:val="22"/>
          <w:rtl w:val="0"/>
        </w:rPr>
        <w:t xml:space="preserve">The Public Opinion Quarterly, 37</w:t>
      </w:r>
      <w:r w:rsidDel="00000000" w:rsidR="00000000" w:rsidRPr="00000000">
        <w:rPr>
          <w:sz w:val="22"/>
          <w:szCs w:val="22"/>
          <w:rtl w:val="0"/>
        </w:rPr>
        <w:t xml:space="preserve">(4), 509–523. </w:t>
      </w:r>
      <w:hyperlink r:id="rId45">
        <w:r w:rsidDel="00000000" w:rsidR="00000000" w:rsidRPr="00000000">
          <w:rPr>
            <w:color w:val="0000ff"/>
            <w:sz w:val="22"/>
            <w:szCs w:val="22"/>
            <w:u w:val="single"/>
            <w:rtl w:val="0"/>
          </w:rPr>
          <w:t xml:space="preserve">http://www.jstor.org/stable/2747854</w:t>
        </w:r>
      </w:hyperlink>
      <w:r w:rsidDel="00000000" w:rsidR="00000000" w:rsidRPr="00000000">
        <w:rPr>
          <w:sz w:val="22"/>
          <w:szCs w:val="22"/>
          <w:rtl w:val="0"/>
        </w:rPr>
        <w:t xml:space="preserve">.</w:t>
      </w:r>
    </w:p>
    <w:p w:rsidR="00000000" w:rsidDel="00000000" w:rsidP="00000000" w:rsidRDefault="00000000" w:rsidRPr="00000000" w14:paraId="000003BA">
      <w:pPr>
        <w:ind w:left="720" w:hanging="720"/>
        <w:jc w:val="both"/>
        <w:rPr>
          <w:sz w:val="22"/>
          <w:szCs w:val="22"/>
        </w:rPr>
      </w:pPr>
      <w:r w:rsidDel="00000000" w:rsidR="00000000" w:rsidRPr="00000000">
        <w:rPr>
          <w:sz w:val="22"/>
          <w:szCs w:val="22"/>
          <w:rtl w:val="0"/>
        </w:rPr>
        <w:t xml:space="preserve">Kaur, A., Ani, A., Sharma, A., &amp; Kumari, V. (2021). Nomophobia and social interaction anxiety among university students. </w:t>
      </w:r>
      <w:r w:rsidDel="00000000" w:rsidR="00000000" w:rsidRPr="00000000">
        <w:rPr>
          <w:i w:val="1"/>
          <w:sz w:val="22"/>
          <w:szCs w:val="22"/>
          <w:rtl w:val="0"/>
        </w:rPr>
        <w:t xml:space="preserve">International Journal of Africa Nursing Sciences, 15</w:t>
      </w:r>
      <w:r w:rsidDel="00000000" w:rsidR="00000000" w:rsidRPr="00000000">
        <w:rPr>
          <w:sz w:val="22"/>
          <w:szCs w:val="22"/>
          <w:rtl w:val="0"/>
        </w:rPr>
        <w:t xml:space="preserve">, 100352. </w:t>
      </w:r>
      <w:hyperlink r:id="rId46">
        <w:r w:rsidDel="00000000" w:rsidR="00000000" w:rsidRPr="00000000">
          <w:rPr>
            <w:color w:val="0000ff"/>
            <w:sz w:val="22"/>
            <w:szCs w:val="22"/>
            <w:u w:val="single"/>
            <w:rtl w:val="0"/>
          </w:rPr>
          <w:t xml:space="preserve">https://doi.org/10.1016/j.ijans.2021.100352</w:t>
        </w:r>
      </w:hyperlink>
      <w:r w:rsidDel="00000000" w:rsidR="00000000" w:rsidRPr="00000000">
        <w:rPr>
          <w:rtl w:val="0"/>
        </w:rPr>
      </w:r>
    </w:p>
    <w:p w:rsidR="00000000" w:rsidDel="00000000" w:rsidP="00000000" w:rsidRDefault="00000000" w:rsidRPr="00000000" w14:paraId="000003BB">
      <w:pPr>
        <w:ind w:left="720" w:hanging="720"/>
        <w:jc w:val="both"/>
        <w:rPr>
          <w:sz w:val="22"/>
          <w:szCs w:val="22"/>
        </w:rPr>
      </w:pPr>
      <w:r w:rsidDel="00000000" w:rsidR="00000000" w:rsidRPr="00000000">
        <w:rPr>
          <w:sz w:val="22"/>
          <w:szCs w:val="22"/>
          <w:rtl w:val="0"/>
        </w:rPr>
        <w:t xml:space="preserve">Kim, J. H. (2018). Psychological issues and problematic use of smartphone: ADHD's moderating role in the associations among loneliness, need for social assurance, need for immediate connection, and problematic use of smartphone. </w:t>
      </w:r>
      <w:r w:rsidDel="00000000" w:rsidR="00000000" w:rsidRPr="00000000">
        <w:rPr>
          <w:i w:val="1"/>
          <w:sz w:val="22"/>
          <w:szCs w:val="22"/>
          <w:rtl w:val="0"/>
        </w:rPr>
        <w:t xml:space="preserve">Computers in Human Behaviour, 80</w:t>
      </w:r>
      <w:r w:rsidDel="00000000" w:rsidR="00000000" w:rsidRPr="00000000">
        <w:rPr>
          <w:sz w:val="22"/>
          <w:szCs w:val="22"/>
          <w:rtl w:val="0"/>
        </w:rPr>
        <w:t xml:space="preserve">, 390–398. </w:t>
      </w:r>
      <w:hyperlink r:id="rId47">
        <w:r w:rsidDel="00000000" w:rsidR="00000000" w:rsidRPr="00000000">
          <w:rPr>
            <w:color w:val="0000ff"/>
            <w:sz w:val="22"/>
            <w:szCs w:val="22"/>
            <w:u w:val="single"/>
            <w:rtl w:val="0"/>
          </w:rPr>
          <w:t xml:space="preserve">https://doi.org/10.1016/j.chb.2017.11.025</w:t>
        </w:r>
      </w:hyperlink>
      <w:r w:rsidDel="00000000" w:rsidR="00000000" w:rsidRPr="00000000">
        <w:rPr>
          <w:rtl w:val="0"/>
        </w:rPr>
      </w:r>
    </w:p>
    <w:p w:rsidR="00000000" w:rsidDel="00000000" w:rsidP="00000000" w:rsidRDefault="00000000" w:rsidRPr="00000000" w14:paraId="000003BC">
      <w:pPr>
        <w:ind w:left="720" w:hanging="720"/>
        <w:jc w:val="both"/>
        <w:rPr>
          <w:sz w:val="22"/>
          <w:szCs w:val="22"/>
        </w:rPr>
      </w:pPr>
      <w:r w:rsidDel="00000000" w:rsidR="00000000" w:rsidRPr="00000000">
        <w:rPr>
          <w:sz w:val="22"/>
          <w:szCs w:val="22"/>
          <w:rtl w:val="0"/>
        </w:rPr>
        <w:t xml:space="preserve">Kotera, Y., Ting, S. H. &amp; Neary, S. (2021). Mental health of Malaysian university students: UK comparison, and the relationship between negative mental health attitudes, self-compassion, and resilience. </w:t>
      </w:r>
      <w:r w:rsidDel="00000000" w:rsidR="00000000" w:rsidRPr="00000000">
        <w:rPr>
          <w:i w:val="1"/>
          <w:sz w:val="22"/>
          <w:szCs w:val="22"/>
          <w:rtl w:val="0"/>
        </w:rPr>
        <w:t xml:space="preserve">Higher Education, 81</w:t>
      </w:r>
      <w:r w:rsidDel="00000000" w:rsidR="00000000" w:rsidRPr="00000000">
        <w:rPr>
          <w:sz w:val="22"/>
          <w:szCs w:val="22"/>
          <w:rtl w:val="0"/>
        </w:rPr>
        <w:t xml:space="preserve">, 403–419. </w:t>
      </w:r>
      <w:hyperlink r:id="rId48">
        <w:r w:rsidDel="00000000" w:rsidR="00000000" w:rsidRPr="00000000">
          <w:rPr>
            <w:color w:val="0000ff"/>
            <w:sz w:val="22"/>
            <w:szCs w:val="22"/>
            <w:u w:val="single"/>
            <w:rtl w:val="0"/>
          </w:rPr>
          <w:t xml:space="preserve">https://doi.org/10.1007/s10734-020-00547-w</w:t>
        </w:r>
      </w:hyperlink>
      <w:r w:rsidDel="00000000" w:rsidR="00000000" w:rsidRPr="00000000">
        <w:rPr>
          <w:rtl w:val="0"/>
        </w:rPr>
      </w:r>
    </w:p>
    <w:p w:rsidR="00000000" w:rsidDel="00000000" w:rsidP="00000000" w:rsidRDefault="00000000" w:rsidRPr="00000000" w14:paraId="000003BD">
      <w:pPr>
        <w:ind w:left="720" w:hanging="720"/>
        <w:jc w:val="both"/>
        <w:rPr>
          <w:sz w:val="22"/>
          <w:szCs w:val="22"/>
        </w:rPr>
      </w:pPr>
      <w:r w:rsidDel="00000000" w:rsidR="00000000" w:rsidRPr="00000000">
        <w:rPr>
          <w:sz w:val="22"/>
          <w:szCs w:val="22"/>
          <w:rtl w:val="0"/>
        </w:rPr>
        <w:t xml:space="preserve">Kumaran, V. V., Ismail, M. K., Thinagar, S., &amp; Roslan, S. N. M. (2022). Mental health disorder among Malaysian university students during COVID-19 pandemic. </w:t>
      </w:r>
      <w:r w:rsidDel="00000000" w:rsidR="00000000" w:rsidRPr="00000000">
        <w:rPr>
          <w:i w:val="1"/>
          <w:sz w:val="22"/>
          <w:szCs w:val="22"/>
          <w:rtl w:val="0"/>
        </w:rPr>
        <w:t xml:space="preserve">Asian Journal of University Education, 18</w:t>
      </w:r>
      <w:r w:rsidDel="00000000" w:rsidR="00000000" w:rsidRPr="00000000">
        <w:rPr>
          <w:sz w:val="22"/>
          <w:szCs w:val="22"/>
          <w:rtl w:val="0"/>
        </w:rPr>
        <w:t xml:space="preserve">(3), 735–744. </w:t>
      </w:r>
      <w:hyperlink r:id="rId49">
        <w:r w:rsidDel="00000000" w:rsidR="00000000" w:rsidRPr="00000000">
          <w:rPr>
            <w:color w:val="0000ff"/>
            <w:sz w:val="22"/>
            <w:szCs w:val="22"/>
            <w:u w:val="single"/>
            <w:rtl w:val="0"/>
          </w:rPr>
          <w:t xml:space="preserve">https://eric.ed.gov/?id=EJ1348157</w:t>
        </w:r>
      </w:hyperlink>
      <w:r w:rsidDel="00000000" w:rsidR="00000000" w:rsidRPr="00000000">
        <w:rPr>
          <w:rtl w:val="0"/>
        </w:rPr>
      </w:r>
    </w:p>
    <w:p w:rsidR="00000000" w:rsidDel="00000000" w:rsidP="00000000" w:rsidRDefault="00000000" w:rsidRPr="00000000" w14:paraId="000003BE">
      <w:pPr>
        <w:ind w:left="720" w:hanging="720"/>
        <w:jc w:val="both"/>
        <w:rPr>
          <w:sz w:val="22"/>
          <w:szCs w:val="22"/>
        </w:rPr>
      </w:pPr>
      <w:r w:rsidDel="00000000" w:rsidR="00000000" w:rsidRPr="00000000">
        <w:rPr>
          <w:sz w:val="22"/>
          <w:szCs w:val="22"/>
          <w:rtl w:val="0"/>
        </w:rPr>
        <w:t xml:space="preserve">Lavoie-Tremblay, M., Sanzone, L., Aubé, T., &amp; Paquet, M. (2022). Sources of stress and coping strategies among undergraduate nursing students across all years. </w:t>
      </w:r>
      <w:r w:rsidDel="00000000" w:rsidR="00000000" w:rsidRPr="00000000">
        <w:rPr>
          <w:i w:val="1"/>
          <w:sz w:val="22"/>
          <w:szCs w:val="22"/>
          <w:rtl w:val="0"/>
        </w:rPr>
        <w:t xml:space="preserve">Canadian Journal of Nursing Research, 54</w:t>
      </w:r>
      <w:r w:rsidDel="00000000" w:rsidR="00000000" w:rsidRPr="00000000">
        <w:rPr>
          <w:sz w:val="22"/>
          <w:szCs w:val="22"/>
          <w:rtl w:val="0"/>
        </w:rPr>
        <w:t xml:space="preserve">(3), 261-271. </w:t>
      </w:r>
      <w:hyperlink r:id="rId50">
        <w:r w:rsidDel="00000000" w:rsidR="00000000" w:rsidRPr="00000000">
          <w:rPr>
            <w:color w:val="0000ff"/>
            <w:sz w:val="22"/>
            <w:szCs w:val="22"/>
            <w:u w:val="single"/>
            <w:rtl w:val="0"/>
          </w:rPr>
          <w:t xml:space="preserve">https://10.1177/08445621211028076</w:t>
        </w:r>
      </w:hyperlink>
      <w:r w:rsidDel="00000000" w:rsidR="00000000" w:rsidRPr="00000000">
        <w:rPr>
          <w:rtl w:val="0"/>
        </w:rPr>
      </w:r>
    </w:p>
    <w:p w:rsidR="00000000" w:rsidDel="00000000" w:rsidP="00000000" w:rsidRDefault="00000000" w:rsidRPr="00000000" w14:paraId="000003BF">
      <w:pPr>
        <w:ind w:left="720" w:hanging="720"/>
        <w:jc w:val="both"/>
        <w:rPr>
          <w:sz w:val="22"/>
          <w:szCs w:val="22"/>
        </w:rPr>
      </w:pPr>
      <w:r w:rsidDel="00000000" w:rsidR="00000000" w:rsidRPr="00000000">
        <w:rPr>
          <w:sz w:val="22"/>
          <w:szCs w:val="22"/>
          <w:rtl w:val="0"/>
        </w:rPr>
        <w:t xml:space="preserve">Lehmkühler, J. K. (2020). </w:t>
      </w:r>
      <w:r w:rsidDel="00000000" w:rsidR="00000000" w:rsidRPr="00000000">
        <w:rPr>
          <w:i w:val="1"/>
          <w:sz w:val="22"/>
          <w:szCs w:val="22"/>
          <w:rtl w:val="0"/>
        </w:rPr>
        <w:t xml:space="preserve">The Association of Binge-Watching and Depressive Symptoms, Especially Feelings of Guilt Over Time: An Experience Sampling Study</w:t>
      </w:r>
      <w:r w:rsidDel="00000000" w:rsidR="00000000" w:rsidRPr="00000000">
        <w:rPr>
          <w:sz w:val="22"/>
          <w:szCs w:val="22"/>
          <w:rtl w:val="0"/>
        </w:rPr>
        <w:t xml:space="preserve"> (Bachelor's Thesis, University of Twente). </w:t>
      </w:r>
      <w:hyperlink r:id="rId51">
        <w:r w:rsidDel="00000000" w:rsidR="00000000" w:rsidRPr="00000000">
          <w:rPr>
            <w:color w:val="0000ff"/>
            <w:sz w:val="22"/>
            <w:szCs w:val="22"/>
            <w:u w:val="single"/>
            <w:rtl w:val="0"/>
          </w:rPr>
          <w:t xml:space="preserve">https://purl.utwente.nl/essays/81511</w:t>
        </w:r>
      </w:hyperlink>
      <w:r w:rsidDel="00000000" w:rsidR="00000000" w:rsidRPr="00000000">
        <w:rPr>
          <w:rtl w:val="0"/>
        </w:rPr>
      </w:r>
    </w:p>
    <w:p w:rsidR="00000000" w:rsidDel="00000000" w:rsidP="00000000" w:rsidRDefault="00000000" w:rsidRPr="00000000" w14:paraId="000003C0">
      <w:pPr>
        <w:ind w:left="720" w:hanging="720"/>
        <w:jc w:val="both"/>
        <w:rPr>
          <w:sz w:val="22"/>
          <w:szCs w:val="22"/>
        </w:rPr>
      </w:pPr>
      <w:r w:rsidDel="00000000" w:rsidR="00000000" w:rsidRPr="00000000">
        <w:rPr>
          <w:sz w:val="22"/>
          <w:szCs w:val="22"/>
          <w:rtl w:val="0"/>
        </w:rPr>
        <w:t xml:space="preserve">Macmillan Dictionary. (2018). Binge-watching. </w:t>
      </w:r>
      <w:r w:rsidDel="00000000" w:rsidR="00000000" w:rsidRPr="00000000">
        <w:rPr>
          <w:i w:val="1"/>
          <w:sz w:val="22"/>
          <w:szCs w:val="22"/>
          <w:rtl w:val="0"/>
        </w:rPr>
        <w:t xml:space="preserve">Macmillan Dictionary Blog</w:t>
      </w:r>
      <w:r w:rsidDel="00000000" w:rsidR="00000000" w:rsidRPr="00000000">
        <w:rPr>
          <w:sz w:val="22"/>
          <w:szCs w:val="22"/>
          <w:rtl w:val="0"/>
        </w:rPr>
        <w:t xml:space="preserve">. </w:t>
      </w:r>
      <w:hyperlink r:id="rId52">
        <w:r w:rsidDel="00000000" w:rsidR="00000000" w:rsidRPr="00000000">
          <w:rPr>
            <w:color w:val="0000ff"/>
            <w:sz w:val="22"/>
            <w:szCs w:val="22"/>
            <w:u w:val="single"/>
            <w:rtl w:val="0"/>
          </w:rPr>
          <w:t xml:space="preserve">https://www.macmillandictionaryblog.com/binge-watching</w:t>
        </w:r>
      </w:hyperlink>
      <w:r w:rsidDel="00000000" w:rsidR="00000000" w:rsidRPr="00000000">
        <w:rPr>
          <w:rtl w:val="0"/>
        </w:rPr>
      </w:r>
    </w:p>
    <w:p w:rsidR="00000000" w:rsidDel="00000000" w:rsidP="00000000" w:rsidRDefault="00000000" w:rsidRPr="00000000" w14:paraId="000003C1">
      <w:pPr>
        <w:ind w:left="720" w:hanging="720"/>
        <w:rPr>
          <w:sz w:val="22"/>
          <w:szCs w:val="22"/>
        </w:rPr>
      </w:pPr>
      <w:r w:rsidDel="00000000" w:rsidR="00000000" w:rsidRPr="00000000">
        <w:rPr>
          <w:sz w:val="22"/>
          <w:szCs w:val="22"/>
          <w:rtl w:val="0"/>
        </w:rPr>
        <w:t xml:space="preserve">Mahmoud, A. T., &amp; Abdul Wahab, J. (2021). Streaming television: Binge-watching behaviour and its implications on university students. </w:t>
      </w:r>
      <w:r w:rsidDel="00000000" w:rsidR="00000000" w:rsidRPr="00000000">
        <w:rPr>
          <w:i w:val="1"/>
          <w:sz w:val="22"/>
          <w:szCs w:val="22"/>
          <w:rtl w:val="0"/>
        </w:rPr>
        <w:t xml:space="preserve">SEARCH Journal of Media and Communication Research, 13</w:t>
      </w:r>
      <w:r w:rsidDel="00000000" w:rsidR="00000000" w:rsidRPr="00000000">
        <w:rPr>
          <w:sz w:val="22"/>
          <w:szCs w:val="22"/>
          <w:rtl w:val="0"/>
        </w:rPr>
        <w:t xml:space="preserve">(3), 95-110. </w:t>
      </w:r>
      <w:hyperlink r:id="rId53">
        <w:r w:rsidDel="00000000" w:rsidR="00000000" w:rsidRPr="00000000">
          <w:rPr>
            <w:color w:val="0000ff"/>
            <w:sz w:val="22"/>
            <w:szCs w:val="22"/>
            <w:u w:val="single"/>
            <w:rtl w:val="0"/>
          </w:rPr>
          <w:t xml:space="preserve">https://shorturl.at/cnuZ1</w:t>
        </w:r>
      </w:hyperlink>
      <w:r w:rsidDel="00000000" w:rsidR="00000000" w:rsidRPr="00000000">
        <w:rPr>
          <w:sz w:val="22"/>
          <w:szCs w:val="22"/>
          <w:rtl w:val="0"/>
        </w:rPr>
        <w:t xml:space="preserve"> </w:t>
      </w:r>
    </w:p>
    <w:p w:rsidR="00000000" w:rsidDel="00000000" w:rsidP="00000000" w:rsidRDefault="00000000" w:rsidRPr="00000000" w14:paraId="000003C2">
      <w:pPr>
        <w:ind w:left="720" w:hanging="720"/>
        <w:jc w:val="both"/>
        <w:rPr>
          <w:sz w:val="22"/>
          <w:szCs w:val="22"/>
        </w:rPr>
      </w:pPr>
      <w:r w:rsidDel="00000000" w:rsidR="00000000" w:rsidRPr="00000000">
        <w:rPr>
          <w:sz w:val="22"/>
          <w:szCs w:val="22"/>
          <w:rtl w:val="0"/>
        </w:rPr>
        <w:t xml:space="preserve">Mattick, R. P., &amp; Clarke, J. C. (1998). Development and validation of measures of social phobia scrutiny fear and social interaction anxiety. </w:t>
      </w:r>
      <w:r w:rsidDel="00000000" w:rsidR="00000000" w:rsidRPr="00000000">
        <w:rPr>
          <w:i w:val="1"/>
          <w:sz w:val="22"/>
          <w:szCs w:val="22"/>
          <w:rtl w:val="0"/>
        </w:rPr>
        <w:t xml:space="preserve">Behaviour Research and Therapy, 36</w:t>
      </w:r>
      <w:r w:rsidDel="00000000" w:rsidR="00000000" w:rsidRPr="00000000">
        <w:rPr>
          <w:sz w:val="22"/>
          <w:szCs w:val="22"/>
          <w:rtl w:val="0"/>
        </w:rPr>
        <w:t xml:space="preserve">(4), 455–470. </w:t>
      </w:r>
      <w:hyperlink r:id="rId54">
        <w:r w:rsidDel="00000000" w:rsidR="00000000" w:rsidRPr="00000000">
          <w:rPr>
            <w:color w:val="0000ff"/>
            <w:sz w:val="22"/>
            <w:szCs w:val="22"/>
            <w:u w:val="single"/>
            <w:rtl w:val="0"/>
          </w:rPr>
          <w:t xml:space="preserve">https://doi.org/10.1016/S0005-7967(97)10031-6</w:t>
        </w:r>
      </w:hyperlink>
      <w:r w:rsidDel="00000000" w:rsidR="00000000" w:rsidRPr="00000000">
        <w:rPr>
          <w:rtl w:val="0"/>
        </w:rPr>
      </w:r>
    </w:p>
    <w:p w:rsidR="00000000" w:rsidDel="00000000" w:rsidP="00000000" w:rsidRDefault="00000000" w:rsidRPr="00000000" w14:paraId="000003C3">
      <w:pPr>
        <w:ind w:left="720" w:hanging="720"/>
        <w:rPr>
          <w:sz w:val="22"/>
          <w:szCs w:val="22"/>
        </w:rPr>
      </w:pPr>
      <w:r w:rsidDel="00000000" w:rsidR="00000000" w:rsidRPr="00000000">
        <w:rPr>
          <w:sz w:val="22"/>
          <w:szCs w:val="22"/>
          <w:rtl w:val="0"/>
        </w:rPr>
        <w:t xml:space="preserve">Mentek. M. (2021, September 22). According to Comms Ministry sec-gen, Malaysia has 28 million social media users as of January 2021. </w:t>
      </w:r>
      <w:r w:rsidDel="00000000" w:rsidR="00000000" w:rsidRPr="00000000">
        <w:rPr>
          <w:i w:val="1"/>
          <w:sz w:val="22"/>
          <w:szCs w:val="22"/>
          <w:rtl w:val="0"/>
        </w:rPr>
        <w:t xml:space="preserve">The Star</w:t>
      </w:r>
      <w:r w:rsidDel="00000000" w:rsidR="00000000" w:rsidRPr="00000000">
        <w:rPr>
          <w:sz w:val="22"/>
          <w:szCs w:val="22"/>
          <w:rtl w:val="0"/>
        </w:rPr>
        <w:t xml:space="preserve">. </w:t>
      </w:r>
      <w:hyperlink r:id="rId55">
        <w:r w:rsidDel="00000000" w:rsidR="00000000" w:rsidRPr="00000000">
          <w:rPr>
            <w:color w:val="0000ff"/>
            <w:sz w:val="22"/>
            <w:szCs w:val="22"/>
            <w:u w:val="single"/>
            <w:rtl w:val="0"/>
          </w:rPr>
          <w:t xml:space="preserve">https://www.thestar.com.my/news/nation/2021/09/22/malaysia-has-28-million-social-media-users-as-of-january-2021-says-comms-ministry-sec-gen</w:t>
        </w:r>
      </w:hyperlink>
      <w:r w:rsidDel="00000000" w:rsidR="00000000" w:rsidRPr="00000000">
        <w:rPr>
          <w:rtl w:val="0"/>
        </w:rPr>
      </w:r>
    </w:p>
    <w:p w:rsidR="00000000" w:rsidDel="00000000" w:rsidP="00000000" w:rsidRDefault="00000000" w:rsidRPr="00000000" w14:paraId="000003C4">
      <w:pPr>
        <w:ind w:left="720" w:hanging="720"/>
        <w:jc w:val="both"/>
        <w:rPr>
          <w:sz w:val="22"/>
          <w:szCs w:val="22"/>
        </w:rPr>
      </w:pPr>
      <w:r w:rsidDel="00000000" w:rsidR="00000000" w:rsidRPr="00000000">
        <w:rPr>
          <w:sz w:val="22"/>
          <w:szCs w:val="22"/>
          <w:rtl w:val="0"/>
        </w:rPr>
        <w:t xml:space="preserve">Merrill Jr, K., &amp; Rubenking, B. (2019). Go long or go often: Influences on binge watching frequency and duration among college students. </w:t>
      </w:r>
      <w:r w:rsidDel="00000000" w:rsidR="00000000" w:rsidRPr="00000000">
        <w:rPr>
          <w:i w:val="1"/>
          <w:sz w:val="22"/>
          <w:szCs w:val="22"/>
          <w:rtl w:val="0"/>
        </w:rPr>
        <w:t xml:space="preserve">Social Sciences, 8</w:t>
      </w:r>
      <w:r w:rsidDel="00000000" w:rsidR="00000000" w:rsidRPr="00000000">
        <w:rPr>
          <w:sz w:val="22"/>
          <w:szCs w:val="22"/>
          <w:rtl w:val="0"/>
        </w:rPr>
        <w:t xml:space="preserve">(1), 10. </w:t>
      </w:r>
      <w:hyperlink r:id="rId56">
        <w:r w:rsidDel="00000000" w:rsidR="00000000" w:rsidRPr="00000000">
          <w:rPr>
            <w:color w:val="0000ff"/>
            <w:sz w:val="22"/>
            <w:szCs w:val="22"/>
            <w:u w:val="single"/>
            <w:rtl w:val="0"/>
          </w:rPr>
          <w:t xml:space="preserve">https://doi.org/10.3390/socsci8010010</w:t>
        </w:r>
      </w:hyperlink>
      <w:r w:rsidDel="00000000" w:rsidR="00000000" w:rsidRPr="00000000">
        <w:rPr>
          <w:sz w:val="22"/>
          <w:szCs w:val="22"/>
          <w:rtl w:val="0"/>
        </w:rPr>
        <w:t xml:space="preserve"> </w:t>
      </w:r>
    </w:p>
    <w:p w:rsidR="00000000" w:rsidDel="00000000" w:rsidP="00000000" w:rsidRDefault="00000000" w:rsidRPr="00000000" w14:paraId="000003C5">
      <w:pPr>
        <w:ind w:left="720" w:hanging="720"/>
        <w:jc w:val="both"/>
        <w:rPr>
          <w:sz w:val="22"/>
          <w:szCs w:val="22"/>
        </w:rPr>
      </w:pPr>
      <w:r w:rsidDel="00000000" w:rsidR="00000000" w:rsidRPr="00000000">
        <w:rPr>
          <w:sz w:val="22"/>
          <w:szCs w:val="22"/>
          <w:rtl w:val="0"/>
        </w:rPr>
        <w:t xml:space="preserve">Montagni, I., Tzourio, C., Cousin, T., Sagara, J. A., Bada-Alonzi, J., &amp; Horgan, A. (2020). Mental health-related digital use by university students: A systematic review. </w:t>
      </w:r>
      <w:r w:rsidDel="00000000" w:rsidR="00000000" w:rsidRPr="00000000">
        <w:rPr>
          <w:i w:val="1"/>
          <w:sz w:val="22"/>
          <w:szCs w:val="22"/>
          <w:rtl w:val="0"/>
        </w:rPr>
        <w:t xml:space="preserve">Telemedicine and e-Health, 26</w:t>
      </w:r>
      <w:r w:rsidDel="00000000" w:rsidR="00000000" w:rsidRPr="00000000">
        <w:rPr>
          <w:sz w:val="22"/>
          <w:szCs w:val="22"/>
          <w:rtl w:val="0"/>
        </w:rPr>
        <w:t xml:space="preserve">(2), 131-146. </w:t>
      </w:r>
      <w:hyperlink r:id="rId57">
        <w:r w:rsidDel="00000000" w:rsidR="00000000" w:rsidRPr="00000000">
          <w:rPr>
            <w:color w:val="0000ff"/>
            <w:sz w:val="22"/>
            <w:szCs w:val="22"/>
            <w:u w:val="single"/>
            <w:rtl w:val="0"/>
          </w:rPr>
          <w:t xml:space="preserve">https://doi.org/10.1089/tmj.2018.0316</w:t>
        </w:r>
      </w:hyperlink>
      <w:r w:rsidDel="00000000" w:rsidR="00000000" w:rsidRPr="00000000">
        <w:rPr>
          <w:rtl w:val="0"/>
        </w:rPr>
      </w:r>
    </w:p>
    <w:p w:rsidR="00000000" w:rsidDel="00000000" w:rsidP="00000000" w:rsidRDefault="00000000" w:rsidRPr="00000000" w14:paraId="000003C6">
      <w:pPr>
        <w:ind w:left="720" w:hanging="720"/>
        <w:jc w:val="both"/>
        <w:rPr>
          <w:sz w:val="22"/>
          <w:szCs w:val="22"/>
        </w:rPr>
      </w:pPr>
      <w:r w:rsidDel="00000000" w:rsidR="00000000" w:rsidRPr="00000000">
        <w:rPr>
          <w:sz w:val="22"/>
          <w:szCs w:val="22"/>
          <w:rtl w:val="0"/>
        </w:rPr>
        <w:t xml:space="preserve">Nanda, A. P., &amp; Banerjee, R. (2020). Binge watching: An exploration of the role of technology. </w:t>
      </w:r>
      <w:r w:rsidDel="00000000" w:rsidR="00000000" w:rsidRPr="00000000">
        <w:rPr>
          <w:i w:val="1"/>
          <w:sz w:val="22"/>
          <w:szCs w:val="22"/>
          <w:rtl w:val="0"/>
        </w:rPr>
        <w:t xml:space="preserve">Psychology and Marketing, 37</w:t>
      </w:r>
      <w:r w:rsidDel="00000000" w:rsidR="00000000" w:rsidRPr="00000000">
        <w:rPr>
          <w:sz w:val="22"/>
          <w:szCs w:val="22"/>
          <w:rtl w:val="0"/>
        </w:rPr>
        <w:t xml:space="preserve">(9), 1212-1230. </w:t>
      </w:r>
      <w:hyperlink r:id="rId58">
        <w:r w:rsidDel="00000000" w:rsidR="00000000" w:rsidRPr="00000000">
          <w:rPr>
            <w:color w:val="0000ff"/>
            <w:sz w:val="22"/>
            <w:szCs w:val="22"/>
            <w:u w:val="single"/>
            <w:rtl w:val="0"/>
          </w:rPr>
          <w:t xml:space="preserve">https://doi.org/10.1002/mar.21353</w:t>
        </w:r>
      </w:hyperlink>
      <w:r w:rsidDel="00000000" w:rsidR="00000000" w:rsidRPr="00000000">
        <w:rPr>
          <w:rtl w:val="0"/>
        </w:rPr>
      </w:r>
    </w:p>
    <w:p w:rsidR="00000000" w:rsidDel="00000000" w:rsidP="00000000" w:rsidRDefault="00000000" w:rsidRPr="00000000" w14:paraId="000003C7">
      <w:pPr>
        <w:ind w:left="720" w:hanging="720"/>
        <w:jc w:val="both"/>
        <w:rPr>
          <w:sz w:val="22"/>
          <w:szCs w:val="22"/>
        </w:rPr>
      </w:pPr>
      <w:r w:rsidDel="00000000" w:rsidR="00000000" w:rsidRPr="00000000">
        <w:rPr>
          <w:sz w:val="22"/>
          <w:szCs w:val="22"/>
          <w:rtl w:val="0"/>
        </w:rPr>
        <w:t xml:space="preserve">Norazlan, N., Yusuf, S., &amp; Al-Majdhoub, F. M. H. (2020). The financial problems and academic performance among public university students in Malaysia. </w:t>
      </w:r>
      <w:r w:rsidDel="00000000" w:rsidR="00000000" w:rsidRPr="00000000">
        <w:rPr>
          <w:i w:val="1"/>
          <w:sz w:val="22"/>
          <w:szCs w:val="22"/>
          <w:rtl w:val="0"/>
        </w:rPr>
        <w:t xml:space="preserve">The Asian Journal of Professional and Business Studies, 1</w:t>
      </w:r>
      <w:r w:rsidDel="00000000" w:rsidR="00000000" w:rsidRPr="00000000">
        <w:rPr>
          <w:sz w:val="22"/>
          <w:szCs w:val="22"/>
          <w:rtl w:val="0"/>
        </w:rPr>
        <w:t xml:space="preserve">(2), 1-6. </w:t>
      </w:r>
    </w:p>
    <w:p w:rsidR="00000000" w:rsidDel="00000000" w:rsidP="00000000" w:rsidRDefault="00000000" w:rsidRPr="00000000" w14:paraId="000003C8">
      <w:pPr>
        <w:ind w:left="720" w:hanging="720"/>
        <w:jc w:val="both"/>
        <w:rPr>
          <w:sz w:val="22"/>
          <w:szCs w:val="22"/>
        </w:rPr>
      </w:pPr>
      <w:r w:rsidDel="00000000" w:rsidR="00000000" w:rsidRPr="00000000">
        <w:rPr>
          <w:sz w:val="22"/>
          <w:szCs w:val="22"/>
          <w:rtl w:val="0"/>
        </w:rPr>
        <w:t xml:space="preserve">Panda, S., &amp; Pandey, S. C. (2017). Binge watching and college students: Motivations and outcomes. </w:t>
      </w:r>
      <w:r w:rsidDel="00000000" w:rsidR="00000000" w:rsidRPr="00000000">
        <w:rPr>
          <w:i w:val="1"/>
          <w:sz w:val="22"/>
          <w:szCs w:val="22"/>
          <w:rtl w:val="0"/>
        </w:rPr>
        <w:t xml:space="preserve">Young Consumers</w:t>
      </w:r>
      <w:r w:rsidDel="00000000" w:rsidR="00000000" w:rsidRPr="00000000">
        <w:rPr>
          <w:sz w:val="22"/>
          <w:szCs w:val="22"/>
          <w:rtl w:val="0"/>
        </w:rPr>
        <w:t xml:space="preserve">, </w:t>
      </w:r>
      <w:r w:rsidDel="00000000" w:rsidR="00000000" w:rsidRPr="00000000">
        <w:rPr>
          <w:i w:val="1"/>
          <w:sz w:val="22"/>
          <w:szCs w:val="22"/>
          <w:rtl w:val="0"/>
        </w:rPr>
        <w:t xml:space="preserve">18</w:t>
      </w:r>
      <w:r w:rsidDel="00000000" w:rsidR="00000000" w:rsidRPr="00000000">
        <w:rPr>
          <w:sz w:val="22"/>
          <w:szCs w:val="22"/>
          <w:rtl w:val="0"/>
        </w:rPr>
        <w:t xml:space="preserve">(4), 425-438. </w:t>
      </w:r>
      <w:hyperlink r:id="rId59">
        <w:r w:rsidDel="00000000" w:rsidR="00000000" w:rsidRPr="00000000">
          <w:rPr>
            <w:color w:val="0000ff"/>
            <w:sz w:val="22"/>
            <w:szCs w:val="22"/>
            <w:u w:val="single"/>
            <w:rtl w:val="0"/>
          </w:rPr>
          <w:t xml:space="preserve">https://doi.org/10.1108/YC-07-2017-00707</w:t>
        </w:r>
      </w:hyperlink>
      <w:r w:rsidDel="00000000" w:rsidR="00000000" w:rsidRPr="00000000">
        <w:rPr>
          <w:rtl w:val="0"/>
        </w:rPr>
      </w:r>
    </w:p>
    <w:p w:rsidR="00000000" w:rsidDel="00000000" w:rsidP="00000000" w:rsidRDefault="00000000" w:rsidRPr="00000000" w14:paraId="000003C9">
      <w:pPr>
        <w:ind w:left="720" w:hanging="720"/>
        <w:jc w:val="both"/>
        <w:rPr>
          <w:sz w:val="22"/>
          <w:szCs w:val="22"/>
        </w:rPr>
      </w:pPr>
      <w:r w:rsidDel="00000000" w:rsidR="00000000" w:rsidRPr="00000000">
        <w:rPr>
          <w:sz w:val="22"/>
          <w:szCs w:val="22"/>
          <w:rtl w:val="0"/>
        </w:rPr>
        <w:t xml:space="preserve">Pijpers, J. (2017). </w:t>
      </w:r>
      <w:r w:rsidDel="00000000" w:rsidR="00000000" w:rsidRPr="00000000">
        <w:rPr>
          <w:i w:val="1"/>
          <w:sz w:val="22"/>
          <w:szCs w:val="22"/>
          <w:rtl w:val="0"/>
        </w:rPr>
        <w:t xml:space="preserve">Loneliness Among Students in Higher Education: Influencing Factors. A Quantitative Cross-Sectional Survey Research</w:t>
      </w:r>
      <w:r w:rsidDel="00000000" w:rsidR="00000000" w:rsidRPr="00000000">
        <w:rPr>
          <w:sz w:val="22"/>
          <w:szCs w:val="22"/>
          <w:rtl w:val="0"/>
        </w:rPr>
        <w:t xml:space="preserve">. Student Health Service, VU University in Amsterdam. </w:t>
      </w:r>
    </w:p>
    <w:p w:rsidR="00000000" w:rsidDel="00000000" w:rsidP="00000000" w:rsidRDefault="00000000" w:rsidRPr="00000000" w14:paraId="000003CA">
      <w:pPr>
        <w:ind w:left="720" w:hanging="720"/>
        <w:jc w:val="both"/>
        <w:rPr>
          <w:sz w:val="22"/>
          <w:szCs w:val="22"/>
        </w:rPr>
      </w:pPr>
      <w:r w:rsidDel="00000000" w:rsidR="00000000" w:rsidRPr="00000000">
        <w:rPr>
          <w:sz w:val="22"/>
          <w:szCs w:val="22"/>
          <w:rtl w:val="0"/>
        </w:rPr>
        <w:t xml:space="preserve">Pittman, M., &amp; Reich, B. (2016). Social media and loneliness: Why an Instagram picture may be worth more than a thousand Twitter words. </w:t>
      </w:r>
      <w:r w:rsidDel="00000000" w:rsidR="00000000" w:rsidRPr="00000000">
        <w:rPr>
          <w:i w:val="1"/>
          <w:sz w:val="22"/>
          <w:szCs w:val="22"/>
          <w:rtl w:val="0"/>
        </w:rPr>
        <w:t xml:space="preserve">Computers in Human Behaviour, 62</w:t>
      </w:r>
      <w:r w:rsidDel="00000000" w:rsidR="00000000" w:rsidRPr="00000000">
        <w:rPr>
          <w:sz w:val="22"/>
          <w:szCs w:val="22"/>
          <w:rtl w:val="0"/>
        </w:rPr>
        <w:t xml:space="preserve">, 155–167. </w:t>
      </w:r>
      <w:hyperlink r:id="rId60">
        <w:r w:rsidDel="00000000" w:rsidR="00000000" w:rsidRPr="00000000">
          <w:rPr>
            <w:color w:val="0000ff"/>
            <w:sz w:val="22"/>
            <w:szCs w:val="22"/>
            <w:u w:val="single"/>
            <w:rtl w:val="0"/>
          </w:rPr>
          <w:t xml:space="preserve">https://doi.org/10.1016/j.chb.2016.03.084</w:t>
        </w:r>
      </w:hyperlink>
      <w:r w:rsidDel="00000000" w:rsidR="00000000" w:rsidRPr="00000000">
        <w:rPr>
          <w:rtl w:val="0"/>
        </w:rPr>
      </w:r>
    </w:p>
    <w:p w:rsidR="00000000" w:rsidDel="00000000" w:rsidP="00000000" w:rsidRDefault="00000000" w:rsidRPr="00000000" w14:paraId="000003CB">
      <w:pPr>
        <w:ind w:left="720" w:hanging="720"/>
        <w:jc w:val="both"/>
        <w:rPr>
          <w:color w:val="0000ff"/>
          <w:u w:val="single"/>
        </w:rPr>
      </w:pPr>
      <w:r w:rsidDel="00000000" w:rsidR="00000000" w:rsidRPr="00000000">
        <w:rPr>
          <w:sz w:val="22"/>
          <w:szCs w:val="22"/>
          <w:rtl w:val="0"/>
        </w:rPr>
        <w:t xml:space="preserve">Pittman, M., &amp; Sheehan, K. (2015). Sprinting a media marathon: Uses and gratifications of binge-watching television through Netflix. </w:t>
      </w:r>
      <w:r w:rsidDel="00000000" w:rsidR="00000000" w:rsidRPr="00000000">
        <w:rPr>
          <w:i w:val="1"/>
          <w:sz w:val="22"/>
          <w:szCs w:val="22"/>
          <w:rtl w:val="0"/>
        </w:rPr>
        <w:t xml:space="preserve">First Monday, 20</w:t>
      </w:r>
      <w:r w:rsidDel="00000000" w:rsidR="00000000" w:rsidRPr="00000000">
        <w:rPr>
          <w:sz w:val="22"/>
          <w:szCs w:val="22"/>
          <w:rtl w:val="0"/>
        </w:rPr>
        <w:t xml:space="preserve">(10), 1–1. </w:t>
      </w:r>
      <w:hyperlink r:id="rId61">
        <w:r w:rsidDel="00000000" w:rsidR="00000000" w:rsidRPr="00000000">
          <w:rPr>
            <w:color w:val="0000ff"/>
            <w:sz w:val="22"/>
            <w:szCs w:val="22"/>
            <w:u w:val="single"/>
            <w:rtl w:val="0"/>
          </w:rPr>
          <w:t xml:space="preserve">https://doi.org10.5210/fm.v20i10.6138</w:t>
        </w:r>
      </w:hyperlink>
      <w:r w:rsidDel="00000000" w:rsidR="00000000" w:rsidRPr="00000000">
        <w:rPr>
          <w:rtl w:val="0"/>
        </w:rPr>
      </w:r>
    </w:p>
    <w:p w:rsidR="00000000" w:rsidDel="00000000" w:rsidP="00000000" w:rsidRDefault="00000000" w:rsidRPr="00000000" w14:paraId="000003CC">
      <w:pPr>
        <w:ind w:left="720" w:hanging="720"/>
        <w:jc w:val="both"/>
        <w:rPr/>
      </w:pPr>
      <w:r w:rsidDel="00000000" w:rsidR="00000000" w:rsidRPr="00000000">
        <w:rPr>
          <w:sz w:val="22"/>
          <w:szCs w:val="22"/>
          <w:rtl w:val="0"/>
        </w:rPr>
        <w:t xml:space="preserve">Polit, D. F., Beck, C. T., &amp; Hungler, B. P. (2001). </w:t>
      </w:r>
      <w:r w:rsidDel="00000000" w:rsidR="00000000" w:rsidRPr="00000000">
        <w:rPr>
          <w:i w:val="1"/>
          <w:sz w:val="22"/>
          <w:szCs w:val="22"/>
          <w:rtl w:val="0"/>
        </w:rPr>
        <w:t xml:space="preserve">Essentials of Nursing Research: Methods, Appraisal, and Utilisation </w:t>
      </w:r>
      <w:r w:rsidDel="00000000" w:rsidR="00000000" w:rsidRPr="00000000">
        <w:rPr>
          <w:sz w:val="22"/>
          <w:szCs w:val="22"/>
          <w:rtl w:val="0"/>
        </w:rPr>
        <w:t xml:space="preserve">(5</w:t>
      </w:r>
      <w:r w:rsidDel="00000000" w:rsidR="00000000" w:rsidRPr="00000000">
        <w:rPr>
          <w:sz w:val="22"/>
          <w:szCs w:val="22"/>
          <w:vertAlign w:val="superscript"/>
          <w:rtl w:val="0"/>
        </w:rPr>
        <w:t xml:space="preserve">th</w:t>
      </w:r>
      <w:r w:rsidDel="00000000" w:rsidR="00000000" w:rsidRPr="00000000">
        <w:rPr>
          <w:sz w:val="22"/>
          <w:szCs w:val="22"/>
          <w:rtl w:val="0"/>
        </w:rPr>
        <w:t xml:space="preserve"> Ed.). Lippincott Williams &amp; Wilkins.</w:t>
      </w:r>
      <w:r w:rsidDel="00000000" w:rsidR="00000000" w:rsidRPr="00000000">
        <w:rPr>
          <w:rtl w:val="0"/>
        </w:rPr>
      </w:r>
    </w:p>
    <w:p w:rsidR="00000000" w:rsidDel="00000000" w:rsidP="00000000" w:rsidRDefault="00000000" w:rsidRPr="00000000" w14:paraId="000003CD">
      <w:pPr>
        <w:ind w:left="720" w:hanging="720"/>
        <w:jc w:val="both"/>
        <w:rPr>
          <w:sz w:val="22"/>
          <w:szCs w:val="22"/>
        </w:rPr>
      </w:pPr>
      <w:r w:rsidDel="00000000" w:rsidR="00000000" w:rsidRPr="00000000">
        <w:rPr>
          <w:sz w:val="22"/>
          <w:szCs w:val="22"/>
          <w:rtl w:val="0"/>
        </w:rPr>
        <w:t xml:space="preserve">Ramayan, S., Estella, A. L. M., &amp; Bakar, I. A. (2018). The effects of binge-watching on interpersonal communication among Department of Communication and Liberal Arts (DCLA) students. </w:t>
      </w:r>
      <w:r w:rsidDel="00000000" w:rsidR="00000000" w:rsidRPr="00000000">
        <w:rPr>
          <w:i w:val="1"/>
          <w:sz w:val="22"/>
          <w:szCs w:val="22"/>
          <w:rtl w:val="0"/>
        </w:rPr>
        <w:t xml:space="preserve">Ideology Journal of Arts and Social Science, 3</w:t>
      </w:r>
      <w:r w:rsidDel="00000000" w:rsidR="00000000" w:rsidRPr="00000000">
        <w:rPr>
          <w:sz w:val="22"/>
          <w:szCs w:val="22"/>
          <w:rtl w:val="0"/>
        </w:rPr>
        <w:t xml:space="preserve">(3), 127-143. </w:t>
      </w:r>
      <w:hyperlink r:id="rId62">
        <w:r w:rsidDel="00000000" w:rsidR="00000000" w:rsidRPr="00000000">
          <w:rPr>
            <w:color w:val="0000ff"/>
            <w:sz w:val="22"/>
            <w:szCs w:val="22"/>
            <w:u w:val="single"/>
            <w:rtl w:val="0"/>
          </w:rPr>
          <w:t xml:space="preserve">https://idealogyjournal.com/ojs/index.php/idealogy/issue/view/7</w:t>
        </w:r>
      </w:hyperlink>
      <w:r w:rsidDel="00000000" w:rsidR="00000000" w:rsidRPr="00000000">
        <w:rPr>
          <w:rtl w:val="0"/>
        </w:rPr>
      </w:r>
    </w:p>
    <w:p w:rsidR="00000000" w:rsidDel="00000000" w:rsidP="00000000" w:rsidRDefault="00000000" w:rsidRPr="00000000" w14:paraId="000003CE">
      <w:pPr>
        <w:ind w:left="720" w:hanging="720"/>
        <w:jc w:val="both"/>
        <w:rPr>
          <w:sz w:val="22"/>
          <w:szCs w:val="22"/>
        </w:rPr>
      </w:pPr>
      <w:r w:rsidDel="00000000" w:rsidR="00000000" w:rsidRPr="00000000">
        <w:rPr>
          <w:sz w:val="22"/>
          <w:szCs w:val="22"/>
          <w:rtl w:val="0"/>
        </w:rPr>
        <w:t xml:space="preserve">Raza, S. H., Yousaf, M., Sohail, F., Munawar, R., Ogadimma, E. C., &amp; Siang, J. M. L. D. (2021). Investigating binge-watching adverse mental health outcomes during COVID-19 pandemic: Moderating role of screen time for web series using online streaming. </w:t>
      </w:r>
      <w:r w:rsidDel="00000000" w:rsidR="00000000" w:rsidRPr="00000000">
        <w:rPr>
          <w:i w:val="1"/>
          <w:sz w:val="22"/>
          <w:szCs w:val="22"/>
          <w:rtl w:val="0"/>
        </w:rPr>
        <w:t xml:space="preserve">Psychology Research and Behaviour Management, 14</w:t>
      </w:r>
      <w:r w:rsidDel="00000000" w:rsidR="00000000" w:rsidRPr="00000000">
        <w:rPr>
          <w:sz w:val="22"/>
          <w:szCs w:val="22"/>
          <w:rtl w:val="0"/>
        </w:rPr>
        <w:t xml:space="preserve">, 1615–1629. </w:t>
      </w:r>
      <w:hyperlink r:id="rId63">
        <w:r w:rsidDel="00000000" w:rsidR="00000000" w:rsidRPr="00000000">
          <w:rPr>
            <w:color w:val="0000ff"/>
            <w:sz w:val="22"/>
            <w:szCs w:val="22"/>
            <w:u w:val="single"/>
            <w:rtl w:val="0"/>
          </w:rPr>
          <w:t xml:space="preserve">https://doi.org/10.2147/PRBM.S328416</w:t>
        </w:r>
      </w:hyperlink>
      <w:r w:rsidDel="00000000" w:rsidR="00000000" w:rsidRPr="00000000">
        <w:rPr>
          <w:rtl w:val="0"/>
        </w:rPr>
      </w:r>
    </w:p>
    <w:p w:rsidR="00000000" w:rsidDel="00000000" w:rsidP="00000000" w:rsidRDefault="00000000" w:rsidRPr="00000000" w14:paraId="000003CF">
      <w:pPr>
        <w:ind w:left="720" w:hanging="720"/>
        <w:jc w:val="both"/>
        <w:rPr>
          <w:sz w:val="22"/>
          <w:szCs w:val="22"/>
        </w:rPr>
      </w:pPr>
      <w:r w:rsidDel="00000000" w:rsidR="00000000" w:rsidRPr="00000000">
        <w:rPr>
          <w:sz w:val="22"/>
          <w:szCs w:val="22"/>
          <w:rtl w:val="0"/>
        </w:rPr>
        <w:t xml:space="preserve">Revathy, V. R., Aram, I. A., &amp; Sharmila, V. S. (2018). Social media as a means to overcome stress and depression among women. </w:t>
      </w:r>
      <w:r w:rsidDel="00000000" w:rsidR="00000000" w:rsidRPr="00000000">
        <w:rPr>
          <w:i w:val="1"/>
          <w:sz w:val="22"/>
          <w:szCs w:val="22"/>
          <w:rtl w:val="0"/>
        </w:rPr>
        <w:t xml:space="preserve">Journal of Media and Communication Studies, 10</w:t>
      </w:r>
      <w:r w:rsidDel="00000000" w:rsidR="00000000" w:rsidRPr="00000000">
        <w:rPr>
          <w:sz w:val="22"/>
          <w:szCs w:val="22"/>
          <w:rtl w:val="0"/>
        </w:rPr>
        <w:t xml:space="preserve">(6), 46–64. </w:t>
      </w:r>
      <w:hyperlink r:id="rId64">
        <w:r w:rsidDel="00000000" w:rsidR="00000000" w:rsidRPr="00000000">
          <w:rPr>
            <w:color w:val="0000ff"/>
            <w:sz w:val="22"/>
            <w:szCs w:val="22"/>
            <w:u w:val="single"/>
            <w:rtl w:val="0"/>
          </w:rPr>
          <w:t xml:space="preserve">https://doi.org/10.5897/JMCS2018.0605</w:t>
        </w:r>
      </w:hyperlink>
      <w:r w:rsidDel="00000000" w:rsidR="00000000" w:rsidRPr="00000000">
        <w:rPr>
          <w:rtl w:val="0"/>
        </w:rPr>
      </w:r>
    </w:p>
    <w:p w:rsidR="00000000" w:rsidDel="00000000" w:rsidP="00000000" w:rsidRDefault="00000000" w:rsidRPr="00000000" w14:paraId="000003D0">
      <w:pPr>
        <w:ind w:left="720" w:hanging="720"/>
        <w:jc w:val="both"/>
        <w:rPr>
          <w:sz w:val="22"/>
          <w:szCs w:val="22"/>
        </w:rPr>
      </w:pPr>
      <w:r w:rsidDel="00000000" w:rsidR="00000000" w:rsidRPr="00000000">
        <w:rPr>
          <w:sz w:val="22"/>
          <w:szCs w:val="22"/>
          <w:rtl w:val="0"/>
        </w:rPr>
        <w:t xml:space="preserve">Rubenking, B., &amp; Bracken, C. C. (2021). Binge watching and serial viewing: Comparing new media viewing habits in 2015 and 2020. </w:t>
      </w:r>
      <w:r w:rsidDel="00000000" w:rsidR="00000000" w:rsidRPr="00000000">
        <w:rPr>
          <w:i w:val="1"/>
          <w:sz w:val="22"/>
          <w:szCs w:val="22"/>
          <w:rtl w:val="0"/>
        </w:rPr>
        <w:t xml:space="preserve">Addictive Behaviors Reports, 14</w:t>
      </w:r>
      <w:r w:rsidDel="00000000" w:rsidR="00000000" w:rsidRPr="00000000">
        <w:rPr>
          <w:sz w:val="22"/>
          <w:szCs w:val="22"/>
          <w:rtl w:val="0"/>
        </w:rPr>
        <w:t xml:space="preserve">, 100356. </w:t>
      </w:r>
      <w:hyperlink r:id="rId65">
        <w:r w:rsidDel="00000000" w:rsidR="00000000" w:rsidRPr="00000000">
          <w:rPr>
            <w:color w:val="0000ff"/>
            <w:sz w:val="22"/>
            <w:szCs w:val="22"/>
            <w:u w:val="single"/>
            <w:rtl w:val="0"/>
          </w:rPr>
          <w:t xml:space="preserve">https://doi.org/10.1016/j.abrep.2021.100356</w:t>
        </w:r>
      </w:hyperlink>
      <w:r w:rsidDel="00000000" w:rsidR="00000000" w:rsidRPr="00000000">
        <w:rPr>
          <w:rtl w:val="0"/>
        </w:rPr>
      </w:r>
    </w:p>
    <w:p w:rsidR="00000000" w:rsidDel="00000000" w:rsidP="00000000" w:rsidRDefault="00000000" w:rsidRPr="00000000" w14:paraId="000003D1">
      <w:pPr>
        <w:ind w:left="720" w:hanging="720"/>
        <w:jc w:val="both"/>
        <w:rPr>
          <w:sz w:val="22"/>
          <w:szCs w:val="22"/>
        </w:rPr>
      </w:pPr>
      <w:r w:rsidDel="00000000" w:rsidR="00000000" w:rsidRPr="00000000">
        <w:rPr>
          <w:sz w:val="22"/>
          <w:szCs w:val="22"/>
          <w:rtl w:val="0"/>
        </w:rPr>
        <w:t xml:space="preserve">Ruby, D. (2023). 44+ Netflix statistics 2023 (Demographics, finances, &amp; growth). </w:t>
      </w:r>
      <w:r w:rsidDel="00000000" w:rsidR="00000000" w:rsidRPr="00000000">
        <w:rPr>
          <w:i w:val="1"/>
          <w:sz w:val="22"/>
          <w:szCs w:val="22"/>
          <w:rtl w:val="0"/>
        </w:rPr>
        <w:t xml:space="preserve">DemandSage</w:t>
      </w:r>
      <w:r w:rsidDel="00000000" w:rsidR="00000000" w:rsidRPr="00000000">
        <w:rPr>
          <w:sz w:val="22"/>
          <w:szCs w:val="22"/>
          <w:rtl w:val="0"/>
        </w:rPr>
        <w:t xml:space="preserve">. </w:t>
      </w:r>
      <w:hyperlink r:id="rId66">
        <w:r w:rsidDel="00000000" w:rsidR="00000000" w:rsidRPr="00000000">
          <w:rPr>
            <w:color w:val="0000ff"/>
            <w:sz w:val="22"/>
            <w:szCs w:val="22"/>
            <w:u w:val="single"/>
            <w:rtl w:val="0"/>
          </w:rPr>
          <w:t xml:space="preserve">https://www.demandsage.com/netflix-subscribers</w:t>
        </w:r>
      </w:hyperlink>
      <w:r w:rsidDel="00000000" w:rsidR="00000000" w:rsidRPr="00000000">
        <w:rPr>
          <w:rtl w:val="0"/>
        </w:rPr>
      </w:r>
    </w:p>
    <w:p w:rsidR="00000000" w:rsidDel="00000000" w:rsidP="00000000" w:rsidRDefault="00000000" w:rsidRPr="00000000" w14:paraId="000003D2">
      <w:pPr>
        <w:ind w:left="720" w:hanging="720"/>
        <w:jc w:val="both"/>
        <w:rPr>
          <w:sz w:val="22"/>
          <w:szCs w:val="22"/>
        </w:rPr>
      </w:pPr>
      <w:r w:rsidDel="00000000" w:rsidR="00000000" w:rsidRPr="00000000">
        <w:rPr>
          <w:sz w:val="22"/>
          <w:szCs w:val="22"/>
          <w:rtl w:val="0"/>
        </w:rPr>
        <w:t xml:space="preserve">Russell, D. W. (1996). UCLA Loneliness Scale (Version 3): Reliability, validity, and factor structure. </w:t>
      </w:r>
      <w:r w:rsidDel="00000000" w:rsidR="00000000" w:rsidRPr="00000000">
        <w:rPr>
          <w:i w:val="1"/>
          <w:sz w:val="22"/>
          <w:szCs w:val="22"/>
          <w:rtl w:val="0"/>
        </w:rPr>
        <w:t xml:space="preserve">Journal of Personality Assessment, 66</w:t>
      </w:r>
      <w:r w:rsidDel="00000000" w:rsidR="00000000" w:rsidRPr="00000000">
        <w:rPr>
          <w:sz w:val="22"/>
          <w:szCs w:val="22"/>
          <w:rtl w:val="0"/>
        </w:rPr>
        <w:t xml:space="preserve">(1), 20–40. </w:t>
      </w:r>
      <w:hyperlink r:id="rId67">
        <w:r w:rsidDel="00000000" w:rsidR="00000000" w:rsidRPr="00000000">
          <w:rPr>
            <w:color w:val="0000ff"/>
            <w:sz w:val="22"/>
            <w:szCs w:val="22"/>
            <w:u w:val="single"/>
            <w:rtl w:val="0"/>
          </w:rPr>
          <w:t xml:space="preserve">https://doi.org/10.1207/s15327752jpa6601_2</w:t>
        </w:r>
      </w:hyperlink>
      <w:r w:rsidDel="00000000" w:rsidR="00000000" w:rsidRPr="00000000">
        <w:rPr>
          <w:rtl w:val="0"/>
        </w:rPr>
      </w:r>
    </w:p>
    <w:p w:rsidR="00000000" w:rsidDel="00000000" w:rsidP="00000000" w:rsidRDefault="00000000" w:rsidRPr="00000000" w14:paraId="000003D3">
      <w:pPr>
        <w:ind w:left="720" w:hanging="720"/>
        <w:jc w:val="both"/>
        <w:rPr>
          <w:sz w:val="22"/>
          <w:szCs w:val="22"/>
        </w:rPr>
      </w:pPr>
      <w:r w:rsidDel="00000000" w:rsidR="00000000" w:rsidRPr="00000000">
        <w:rPr>
          <w:sz w:val="22"/>
          <w:szCs w:val="22"/>
          <w:rtl w:val="0"/>
        </w:rPr>
        <w:t xml:space="preserve">Spruance, L. A., Karmakar, M., Kruger, J. S., &amp; Vaterlaus, J. M. (2017). Are you still watching? Correlations between binge TV watching, diet, and physical activity. </w:t>
      </w:r>
      <w:r w:rsidDel="00000000" w:rsidR="00000000" w:rsidRPr="00000000">
        <w:rPr>
          <w:i w:val="1"/>
          <w:sz w:val="22"/>
          <w:szCs w:val="22"/>
          <w:rtl w:val="0"/>
        </w:rPr>
        <w:t xml:space="preserve">Journal of Obesity &amp; Weight Management</w:t>
      </w:r>
      <w:r w:rsidDel="00000000" w:rsidR="00000000" w:rsidRPr="00000000">
        <w:rPr>
          <w:sz w:val="22"/>
          <w:szCs w:val="22"/>
          <w:rtl w:val="0"/>
        </w:rPr>
        <w:t xml:space="preserve">, 1-8.</w:t>
      </w:r>
    </w:p>
    <w:p w:rsidR="00000000" w:rsidDel="00000000" w:rsidP="00000000" w:rsidRDefault="00000000" w:rsidRPr="00000000" w14:paraId="000003D4">
      <w:pPr>
        <w:ind w:left="720" w:hanging="720"/>
        <w:jc w:val="both"/>
        <w:rPr>
          <w:sz w:val="22"/>
          <w:szCs w:val="22"/>
        </w:rPr>
      </w:pPr>
      <w:r w:rsidDel="00000000" w:rsidR="00000000" w:rsidRPr="00000000">
        <w:rPr>
          <w:sz w:val="22"/>
          <w:szCs w:val="22"/>
          <w:rtl w:val="0"/>
        </w:rPr>
        <w:t xml:space="preserve">Stankovska, G., Angelkovska, S., &amp; Grncarovska, S. P. (2016). </w:t>
      </w:r>
      <w:r w:rsidDel="00000000" w:rsidR="00000000" w:rsidRPr="00000000">
        <w:rPr>
          <w:i w:val="1"/>
          <w:sz w:val="22"/>
          <w:szCs w:val="22"/>
          <w:rtl w:val="0"/>
        </w:rPr>
        <w:t xml:space="preserve">Social Networks Use, Loneliness, and Academic Performance among University Students.</w:t>
      </w:r>
      <w:r w:rsidDel="00000000" w:rsidR="00000000" w:rsidRPr="00000000">
        <w:rPr>
          <w:sz w:val="22"/>
          <w:szCs w:val="22"/>
          <w:rtl w:val="0"/>
        </w:rPr>
        <w:t xml:space="preserve"> Proceedings of the Annual International Conference of the Bulgarian Comparative Education Society. </w:t>
      </w:r>
      <w:hyperlink r:id="rId68">
        <w:r w:rsidDel="00000000" w:rsidR="00000000" w:rsidRPr="00000000">
          <w:rPr>
            <w:color w:val="0000ff"/>
            <w:sz w:val="22"/>
            <w:szCs w:val="22"/>
            <w:u w:val="single"/>
            <w:rtl w:val="0"/>
          </w:rPr>
          <w:t xml:space="preserve">https://eric.ed.gov/?id=ED568119</w:t>
        </w:r>
      </w:hyperlink>
      <w:r w:rsidDel="00000000" w:rsidR="00000000" w:rsidRPr="00000000">
        <w:rPr>
          <w:rtl w:val="0"/>
        </w:rPr>
      </w:r>
    </w:p>
    <w:p w:rsidR="00000000" w:rsidDel="00000000" w:rsidP="00000000" w:rsidRDefault="00000000" w:rsidRPr="00000000" w14:paraId="000003D5">
      <w:pPr>
        <w:ind w:left="720" w:hanging="720"/>
        <w:jc w:val="both"/>
        <w:rPr>
          <w:sz w:val="22"/>
          <w:szCs w:val="22"/>
        </w:rPr>
      </w:pPr>
      <w:r w:rsidDel="00000000" w:rsidR="00000000" w:rsidRPr="00000000">
        <w:rPr>
          <w:sz w:val="22"/>
          <w:szCs w:val="22"/>
          <w:rtl w:val="0"/>
        </w:rPr>
        <w:t xml:space="preserve">Starosta, J. A., &amp; Izydorczyk, B. (2020). Understanding the phenomenon of binge-watching - A systematic review. </w:t>
      </w:r>
      <w:r w:rsidDel="00000000" w:rsidR="00000000" w:rsidRPr="00000000">
        <w:rPr>
          <w:i w:val="1"/>
          <w:sz w:val="22"/>
          <w:szCs w:val="22"/>
          <w:rtl w:val="0"/>
        </w:rPr>
        <w:t xml:space="preserve">International Journal of Environmental Research and Public Health, 17</w:t>
      </w:r>
      <w:r w:rsidDel="00000000" w:rsidR="00000000" w:rsidRPr="00000000">
        <w:rPr>
          <w:sz w:val="22"/>
          <w:szCs w:val="22"/>
          <w:rtl w:val="0"/>
        </w:rPr>
        <w:t xml:space="preserve">(12), 4469. </w:t>
      </w:r>
      <w:hyperlink r:id="rId69">
        <w:r w:rsidDel="00000000" w:rsidR="00000000" w:rsidRPr="00000000">
          <w:rPr>
            <w:color w:val="0000ff"/>
            <w:sz w:val="22"/>
            <w:szCs w:val="22"/>
            <w:u w:val="single"/>
            <w:rtl w:val="0"/>
          </w:rPr>
          <w:t xml:space="preserve">https://doi.org/10.3390/ijerph17124469</w:t>
        </w:r>
      </w:hyperlink>
      <w:r w:rsidDel="00000000" w:rsidR="00000000" w:rsidRPr="00000000">
        <w:rPr>
          <w:rtl w:val="0"/>
        </w:rPr>
      </w:r>
    </w:p>
    <w:p w:rsidR="00000000" w:rsidDel="00000000" w:rsidP="00000000" w:rsidRDefault="00000000" w:rsidRPr="00000000" w14:paraId="000003D6">
      <w:pPr>
        <w:ind w:left="720" w:hanging="720"/>
        <w:jc w:val="both"/>
        <w:rPr>
          <w:sz w:val="22"/>
          <w:szCs w:val="22"/>
        </w:rPr>
      </w:pPr>
      <w:r w:rsidDel="00000000" w:rsidR="00000000" w:rsidRPr="00000000">
        <w:rPr>
          <w:sz w:val="22"/>
          <w:szCs w:val="22"/>
          <w:rtl w:val="0"/>
        </w:rPr>
        <w:t xml:space="preserve">Starosta, J., Izydorczyk, B., &amp; Lizyńczyk, S. (2019). Characteristics of people's binge-watching behaviour in the entering into early adulthood period of life. </w:t>
      </w:r>
      <w:r w:rsidDel="00000000" w:rsidR="00000000" w:rsidRPr="00000000">
        <w:rPr>
          <w:i w:val="1"/>
          <w:sz w:val="22"/>
          <w:szCs w:val="22"/>
          <w:rtl w:val="0"/>
        </w:rPr>
        <w:t xml:space="preserve">Health Psychology Report, 7</w:t>
      </w:r>
      <w:r w:rsidDel="00000000" w:rsidR="00000000" w:rsidRPr="00000000">
        <w:rPr>
          <w:sz w:val="22"/>
          <w:szCs w:val="22"/>
          <w:rtl w:val="0"/>
        </w:rPr>
        <w:t xml:space="preserve">(2), 149-164. </w:t>
      </w:r>
      <w:hyperlink r:id="rId70">
        <w:r w:rsidDel="00000000" w:rsidR="00000000" w:rsidRPr="00000000">
          <w:rPr>
            <w:color w:val="0000ff"/>
            <w:sz w:val="22"/>
            <w:szCs w:val="22"/>
            <w:u w:val="single"/>
            <w:rtl w:val="0"/>
          </w:rPr>
          <w:t xml:space="preserve">https://doi.org/10.5114/hpr.2019.83025</w:t>
        </w:r>
      </w:hyperlink>
      <w:r w:rsidDel="00000000" w:rsidR="00000000" w:rsidRPr="00000000">
        <w:rPr>
          <w:rtl w:val="0"/>
        </w:rPr>
      </w:r>
    </w:p>
    <w:p w:rsidR="00000000" w:rsidDel="00000000" w:rsidP="00000000" w:rsidRDefault="00000000" w:rsidRPr="00000000" w14:paraId="000003D7">
      <w:pPr>
        <w:ind w:left="720" w:hanging="720"/>
        <w:jc w:val="both"/>
        <w:rPr>
          <w:sz w:val="22"/>
          <w:szCs w:val="22"/>
        </w:rPr>
      </w:pPr>
      <w:r w:rsidDel="00000000" w:rsidR="00000000" w:rsidRPr="00000000">
        <w:rPr>
          <w:sz w:val="22"/>
          <w:szCs w:val="22"/>
          <w:rtl w:val="0"/>
        </w:rPr>
        <w:t xml:space="preserve">Starosta, J. A., Izydorczyk, B., Sitnik-Warchulska, K., &amp; Lizińczyk, S. (2021). Impulsivity and difficulties in emotional regulation as predictors of binge-watching behaviours. </w:t>
      </w:r>
      <w:r w:rsidDel="00000000" w:rsidR="00000000" w:rsidRPr="00000000">
        <w:rPr>
          <w:i w:val="1"/>
          <w:sz w:val="22"/>
          <w:szCs w:val="22"/>
          <w:rtl w:val="0"/>
        </w:rPr>
        <w:t xml:space="preserve">Frontiers in Psychiatry, 12</w:t>
      </w:r>
      <w:r w:rsidDel="00000000" w:rsidR="00000000" w:rsidRPr="00000000">
        <w:rPr>
          <w:sz w:val="22"/>
          <w:szCs w:val="22"/>
          <w:rtl w:val="0"/>
        </w:rPr>
        <w:t xml:space="preserve">. </w:t>
      </w:r>
      <w:hyperlink r:id="rId71">
        <w:r w:rsidDel="00000000" w:rsidR="00000000" w:rsidRPr="00000000">
          <w:rPr>
            <w:color w:val="0000ff"/>
            <w:sz w:val="22"/>
            <w:szCs w:val="22"/>
            <w:u w:val="single"/>
            <w:rtl w:val="0"/>
          </w:rPr>
          <w:t xml:space="preserve">https://doi.org/10.3389/fpsyt.2021.743870</w:t>
        </w:r>
      </w:hyperlink>
      <w:r w:rsidDel="00000000" w:rsidR="00000000" w:rsidRPr="00000000">
        <w:rPr>
          <w:rtl w:val="0"/>
        </w:rPr>
      </w:r>
    </w:p>
    <w:p w:rsidR="00000000" w:rsidDel="00000000" w:rsidP="00000000" w:rsidRDefault="00000000" w:rsidRPr="00000000" w14:paraId="000003D8">
      <w:pPr>
        <w:ind w:left="720" w:hanging="720"/>
        <w:jc w:val="both"/>
        <w:rPr>
          <w:sz w:val="22"/>
          <w:szCs w:val="22"/>
        </w:rPr>
      </w:pPr>
      <w:r w:rsidDel="00000000" w:rsidR="00000000" w:rsidRPr="00000000">
        <w:rPr>
          <w:sz w:val="22"/>
          <w:szCs w:val="22"/>
          <w:rtl w:val="0"/>
        </w:rPr>
        <w:t xml:space="preserve">Steinbach, E. M. (2018). </w:t>
      </w:r>
      <w:r w:rsidDel="00000000" w:rsidR="00000000" w:rsidRPr="00000000">
        <w:rPr>
          <w:i w:val="1"/>
          <w:sz w:val="22"/>
          <w:szCs w:val="22"/>
          <w:rtl w:val="0"/>
        </w:rPr>
        <w:t xml:space="preserve">Binge-watching and its Impact on Learning Behaviour and Important Daily Life Activities among University Students: A Study using Ecological Momentary Assessment</w:t>
      </w:r>
      <w:r w:rsidDel="00000000" w:rsidR="00000000" w:rsidRPr="00000000">
        <w:rPr>
          <w:sz w:val="22"/>
          <w:szCs w:val="22"/>
          <w:rtl w:val="0"/>
        </w:rPr>
        <w:t xml:space="preserve"> (Bachelor's Thesis, University of Twente). </w:t>
      </w:r>
      <w:hyperlink r:id="rId72">
        <w:r w:rsidDel="00000000" w:rsidR="00000000" w:rsidRPr="00000000">
          <w:rPr>
            <w:color w:val="0000ff"/>
            <w:sz w:val="22"/>
            <w:szCs w:val="22"/>
            <w:u w:val="single"/>
            <w:rtl w:val="0"/>
          </w:rPr>
          <w:t xml:space="preserve">https://purl.utwente.nl/essays/75171</w:t>
        </w:r>
      </w:hyperlink>
      <w:r w:rsidDel="00000000" w:rsidR="00000000" w:rsidRPr="00000000">
        <w:rPr>
          <w:rtl w:val="0"/>
        </w:rPr>
      </w:r>
    </w:p>
    <w:p w:rsidR="00000000" w:rsidDel="00000000" w:rsidP="00000000" w:rsidRDefault="00000000" w:rsidRPr="00000000" w14:paraId="000003D9">
      <w:pPr>
        <w:ind w:left="720" w:hanging="720"/>
        <w:jc w:val="both"/>
        <w:rPr>
          <w:sz w:val="22"/>
          <w:szCs w:val="22"/>
        </w:rPr>
      </w:pPr>
      <w:r w:rsidDel="00000000" w:rsidR="00000000" w:rsidRPr="00000000">
        <w:rPr>
          <w:sz w:val="22"/>
          <w:szCs w:val="22"/>
          <w:rtl w:val="0"/>
        </w:rPr>
        <w:t xml:space="preserve">Steiner, E., &amp; Xu, K. (2020). Binge-watching motivates change: Uses and gratifications of streaming video viewers challenge traditional TV research. </w:t>
      </w:r>
      <w:r w:rsidDel="00000000" w:rsidR="00000000" w:rsidRPr="00000000">
        <w:rPr>
          <w:i w:val="1"/>
          <w:sz w:val="22"/>
          <w:szCs w:val="22"/>
          <w:rtl w:val="0"/>
        </w:rPr>
        <w:t xml:space="preserve">Convergence, 26</w:t>
      </w:r>
      <w:r w:rsidDel="00000000" w:rsidR="00000000" w:rsidRPr="00000000">
        <w:rPr>
          <w:sz w:val="22"/>
          <w:szCs w:val="22"/>
          <w:rtl w:val="0"/>
        </w:rPr>
        <w:t xml:space="preserve">(1), 82-101. </w:t>
      </w:r>
      <w:hyperlink r:id="rId73">
        <w:r w:rsidDel="00000000" w:rsidR="00000000" w:rsidRPr="00000000">
          <w:rPr>
            <w:color w:val="0000ff"/>
            <w:sz w:val="22"/>
            <w:szCs w:val="22"/>
            <w:u w:val="single"/>
            <w:rtl w:val="0"/>
          </w:rPr>
          <w:t xml:space="preserve">https://doi.org/10.1177/1354856517750365</w:t>
        </w:r>
      </w:hyperlink>
      <w:r w:rsidDel="00000000" w:rsidR="00000000" w:rsidRPr="00000000">
        <w:rPr>
          <w:rtl w:val="0"/>
        </w:rPr>
      </w:r>
    </w:p>
    <w:p w:rsidR="00000000" w:rsidDel="00000000" w:rsidP="00000000" w:rsidRDefault="00000000" w:rsidRPr="00000000" w14:paraId="000003DA">
      <w:pPr>
        <w:ind w:left="720" w:hanging="720"/>
        <w:jc w:val="both"/>
        <w:rPr>
          <w:sz w:val="22"/>
          <w:szCs w:val="22"/>
        </w:rPr>
      </w:pPr>
      <w:r w:rsidDel="00000000" w:rsidR="00000000" w:rsidRPr="00000000">
        <w:rPr>
          <w:sz w:val="22"/>
          <w:szCs w:val="22"/>
          <w:rtl w:val="0"/>
        </w:rPr>
        <w:t xml:space="preserve">Steins-Loeber, S., Reiter, T., Averbeck, H., Harbarth, L., &amp; Brand, M. (2020). Binge-watching behaviour: The role of impulsivity and depressive symptoms. </w:t>
      </w:r>
      <w:r w:rsidDel="00000000" w:rsidR="00000000" w:rsidRPr="00000000">
        <w:rPr>
          <w:i w:val="1"/>
          <w:sz w:val="22"/>
          <w:szCs w:val="22"/>
          <w:rtl w:val="0"/>
        </w:rPr>
        <w:t xml:space="preserve">European Addiction Research, 26</w:t>
      </w:r>
      <w:r w:rsidDel="00000000" w:rsidR="00000000" w:rsidRPr="00000000">
        <w:rPr>
          <w:sz w:val="22"/>
          <w:szCs w:val="22"/>
          <w:rtl w:val="0"/>
        </w:rPr>
        <w:t xml:space="preserve">(3), 141-150. </w:t>
      </w:r>
      <w:hyperlink r:id="rId74">
        <w:r w:rsidDel="00000000" w:rsidR="00000000" w:rsidRPr="00000000">
          <w:rPr>
            <w:color w:val="0000ff"/>
            <w:sz w:val="22"/>
            <w:szCs w:val="22"/>
            <w:u w:val="single"/>
            <w:rtl w:val="0"/>
          </w:rPr>
          <w:t xml:space="preserve">https://doi.org/10.1159/000506307</w:t>
        </w:r>
      </w:hyperlink>
      <w:r w:rsidDel="00000000" w:rsidR="00000000" w:rsidRPr="00000000">
        <w:rPr>
          <w:rtl w:val="0"/>
        </w:rPr>
      </w:r>
    </w:p>
    <w:p w:rsidR="00000000" w:rsidDel="00000000" w:rsidP="00000000" w:rsidRDefault="00000000" w:rsidRPr="00000000" w14:paraId="000003DB">
      <w:pPr>
        <w:ind w:left="720" w:hanging="720"/>
        <w:jc w:val="both"/>
        <w:rPr>
          <w:sz w:val="22"/>
          <w:szCs w:val="22"/>
        </w:rPr>
      </w:pPr>
      <w:r w:rsidDel="00000000" w:rsidR="00000000" w:rsidRPr="00000000">
        <w:rPr>
          <w:sz w:val="22"/>
          <w:szCs w:val="22"/>
          <w:rtl w:val="0"/>
        </w:rPr>
        <w:t xml:space="preserve">Sun, J. J., &amp; Chang, Y. J. (2021). Associations of problematic binge-watching with depression, social interaction anxiety, and loneliness. </w:t>
      </w:r>
      <w:r w:rsidDel="00000000" w:rsidR="00000000" w:rsidRPr="00000000">
        <w:rPr>
          <w:i w:val="1"/>
          <w:sz w:val="22"/>
          <w:szCs w:val="22"/>
          <w:rtl w:val="0"/>
        </w:rPr>
        <w:t xml:space="preserve">International Journal of Environmental Research and Public Health, 18</w:t>
      </w:r>
      <w:r w:rsidDel="00000000" w:rsidR="00000000" w:rsidRPr="00000000">
        <w:rPr>
          <w:sz w:val="22"/>
          <w:szCs w:val="22"/>
          <w:rtl w:val="0"/>
        </w:rPr>
        <w:t xml:space="preserve">(3), 1168. </w:t>
      </w:r>
      <w:hyperlink r:id="rId75">
        <w:r w:rsidDel="00000000" w:rsidR="00000000" w:rsidRPr="00000000">
          <w:rPr>
            <w:color w:val="0000ff"/>
            <w:sz w:val="22"/>
            <w:szCs w:val="22"/>
            <w:u w:val="single"/>
            <w:rtl w:val="0"/>
          </w:rPr>
          <w:t xml:space="preserve">https://doi.org/10.3390/ijerph18031168</w:t>
        </w:r>
      </w:hyperlink>
      <w:r w:rsidDel="00000000" w:rsidR="00000000" w:rsidRPr="00000000">
        <w:rPr>
          <w:rtl w:val="0"/>
        </w:rPr>
      </w:r>
    </w:p>
    <w:p w:rsidR="00000000" w:rsidDel="00000000" w:rsidP="00000000" w:rsidRDefault="00000000" w:rsidRPr="00000000" w14:paraId="000003DC">
      <w:pPr>
        <w:ind w:left="720" w:hanging="720"/>
        <w:jc w:val="both"/>
        <w:rPr>
          <w:sz w:val="22"/>
          <w:szCs w:val="22"/>
        </w:rPr>
      </w:pPr>
      <w:r w:rsidDel="00000000" w:rsidR="00000000" w:rsidRPr="00000000">
        <w:rPr>
          <w:sz w:val="22"/>
          <w:szCs w:val="22"/>
          <w:rtl w:val="0"/>
        </w:rPr>
        <w:t xml:space="preserve">Susanno, R., Phedra, R., &amp; Murwani, I. A. (2019). The determinant factors of the intention to spend more time binge-watching for Netflix subscribers in Jakarta. </w:t>
      </w:r>
      <w:r w:rsidDel="00000000" w:rsidR="00000000" w:rsidRPr="00000000">
        <w:rPr>
          <w:i w:val="1"/>
          <w:sz w:val="22"/>
          <w:szCs w:val="22"/>
          <w:rtl w:val="0"/>
        </w:rPr>
        <w:t xml:space="preserve">Journal of Research in Marketing, 10</w:t>
      </w:r>
      <w:r w:rsidDel="00000000" w:rsidR="00000000" w:rsidRPr="00000000">
        <w:rPr>
          <w:sz w:val="22"/>
          <w:szCs w:val="22"/>
          <w:rtl w:val="0"/>
        </w:rPr>
        <w:t xml:space="preserve">(3), 807-812. </w:t>
      </w:r>
      <w:hyperlink r:id="rId76">
        <w:r w:rsidDel="00000000" w:rsidR="00000000" w:rsidRPr="00000000">
          <w:rPr>
            <w:color w:val="0000ff"/>
            <w:sz w:val="22"/>
            <w:szCs w:val="22"/>
            <w:u w:val="single"/>
            <w:rtl w:val="0"/>
          </w:rPr>
          <w:t xml:space="preserve">https://core.ac.uk/download/pdf/229163703.pdf</w:t>
        </w:r>
      </w:hyperlink>
      <w:r w:rsidDel="00000000" w:rsidR="00000000" w:rsidRPr="00000000">
        <w:rPr>
          <w:rtl w:val="0"/>
        </w:rPr>
      </w:r>
    </w:p>
    <w:p w:rsidR="00000000" w:rsidDel="00000000" w:rsidP="00000000" w:rsidRDefault="00000000" w:rsidRPr="00000000" w14:paraId="000003DD">
      <w:pPr>
        <w:ind w:left="720" w:hanging="720"/>
        <w:jc w:val="both"/>
        <w:rPr>
          <w:sz w:val="22"/>
          <w:szCs w:val="22"/>
        </w:rPr>
      </w:pPr>
      <w:r w:rsidDel="00000000" w:rsidR="00000000" w:rsidRPr="00000000">
        <w:rPr>
          <w:sz w:val="22"/>
          <w:szCs w:val="22"/>
          <w:rtl w:val="0"/>
        </w:rPr>
        <w:t xml:space="preserve">Tabachnick, B. G., &amp; Fidell, L. S. (2017). </w:t>
      </w:r>
      <w:r w:rsidDel="00000000" w:rsidR="00000000" w:rsidRPr="00000000">
        <w:rPr>
          <w:i w:val="1"/>
          <w:sz w:val="22"/>
          <w:szCs w:val="22"/>
          <w:rtl w:val="0"/>
        </w:rPr>
        <w:t xml:space="preserve">Using Multivariate Statistics</w:t>
      </w:r>
      <w:r w:rsidDel="00000000" w:rsidR="00000000" w:rsidRPr="00000000">
        <w:rPr>
          <w:sz w:val="22"/>
          <w:szCs w:val="22"/>
          <w:rtl w:val="0"/>
        </w:rPr>
        <w:t xml:space="preserve"> (6</w:t>
      </w:r>
      <w:r w:rsidDel="00000000" w:rsidR="00000000" w:rsidRPr="00000000">
        <w:rPr>
          <w:sz w:val="22"/>
          <w:szCs w:val="22"/>
          <w:vertAlign w:val="superscript"/>
          <w:rtl w:val="0"/>
        </w:rPr>
        <w:t xml:space="preserve">th</w:t>
      </w:r>
      <w:r w:rsidDel="00000000" w:rsidR="00000000" w:rsidRPr="00000000">
        <w:rPr>
          <w:sz w:val="22"/>
          <w:szCs w:val="22"/>
          <w:rtl w:val="0"/>
        </w:rPr>
        <w:t xml:space="preserve"> Ed.). Pearson Education.</w:t>
      </w:r>
    </w:p>
    <w:p w:rsidR="00000000" w:rsidDel="00000000" w:rsidP="00000000" w:rsidRDefault="00000000" w:rsidRPr="00000000" w14:paraId="000003DE">
      <w:pPr>
        <w:ind w:left="720" w:hanging="720"/>
        <w:jc w:val="both"/>
        <w:rPr>
          <w:sz w:val="22"/>
          <w:szCs w:val="22"/>
        </w:rPr>
      </w:pPr>
      <w:r w:rsidDel="00000000" w:rsidR="00000000" w:rsidRPr="00000000">
        <w:rPr>
          <w:sz w:val="22"/>
          <w:szCs w:val="22"/>
          <w:rtl w:val="0"/>
        </w:rPr>
        <w:t xml:space="preserve">Tefertiller, A. C., &amp; Maxwell, L. C. (2018). Depression, emotional states, and the experience of binge-watching narrative television. </w:t>
      </w:r>
      <w:r w:rsidDel="00000000" w:rsidR="00000000" w:rsidRPr="00000000">
        <w:rPr>
          <w:i w:val="1"/>
          <w:sz w:val="22"/>
          <w:szCs w:val="22"/>
          <w:rtl w:val="0"/>
        </w:rPr>
        <w:t xml:space="preserve">Atlantic Journal of Communication, 26</w:t>
      </w:r>
      <w:r w:rsidDel="00000000" w:rsidR="00000000" w:rsidRPr="00000000">
        <w:rPr>
          <w:sz w:val="22"/>
          <w:szCs w:val="22"/>
          <w:rtl w:val="0"/>
        </w:rPr>
        <w:t xml:space="preserve">(5), 278–290. </w:t>
      </w:r>
      <w:hyperlink r:id="rId77">
        <w:r w:rsidDel="00000000" w:rsidR="00000000" w:rsidRPr="00000000">
          <w:rPr>
            <w:color w:val="0000ff"/>
            <w:sz w:val="22"/>
            <w:szCs w:val="22"/>
            <w:u w:val="single"/>
            <w:rtl w:val="0"/>
          </w:rPr>
          <w:t xml:space="preserve">https://doi.org/10.1080/15456870.2018.1517765</w:t>
        </w:r>
      </w:hyperlink>
      <w:r w:rsidDel="00000000" w:rsidR="00000000" w:rsidRPr="00000000">
        <w:rPr>
          <w:rtl w:val="0"/>
        </w:rPr>
      </w:r>
    </w:p>
    <w:p w:rsidR="00000000" w:rsidDel="00000000" w:rsidP="00000000" w:rsidRDefault="00000000" w:rsidRPr="00000000" w14:paraId="000003DF">
      <w:pPr>
        <w:ind w:left="720" w:hanging="720"/>
        <w:jc w:val="both"/>
        <w:rPr>
          <w:sz w:val="22"/>
          <w:szCs w:val="22"/>
        </w:rPr>
      </w:pPr>
      <w:r w:rsidDel="00000000" w:rsidR="00000000" w:rsidRPr="00000000">
        <w:rPr>
          <w:sz w:val="22"/>
          <w:szCs w:val="22"/>
          <w:rtl w:val="0"/>
        </w:rPr>
        <w:t xml:space="preserve">Tengku Mohd Azzman, T. S. A., &amp; Abdul Manaf, A. M. (2022). </w:t>
      </w:r>
      <w:r w:rsidDel="00000000" w:rsidR="00000000" w:rsidRPr="00000000">
        <w:rPr>
          <w:i w:val="1"/>
          <w:sz w:val="22"/>
          <w:szCs w:val="22"/>
          <w:rtl w:val="0"/>
        </w:rPr>
        <w:t xml:space="preserve">Netflix Binge-Watching, Parasocial Interaction, and Loneliness among Malaysian University Students during the COVID-19 Pandemic</w:t>
      </w:r>
      <w:r w:rsidDel="00000000" w:rsidR="00000000" w:rsidRPr="00000000">
        <w:rPr>
          <w:sz w:val="22"/>
          <w:szCs w:val="22"/>
          <w:rtl w:val="0"/>
        </w:rPr>
        <w:t xml:space="preserve">. In the 4th Communication Research Seminar 2022 (CORENA22). </w:t>
      </w:r>
      <w:hyperlink r:id="rId78">
        <w:r w:rsidDel="00000000" w:rsidR="00000000" w:rsidRPr="00000000">
          <w:rPr>
            <w:color w:val="0000ff"/>
            <w:sz w:val="22"/>
            <w:szCs w:val="22"/>
            <w:u w:val="single"/>
            <w:rtl w:val="0"/>
          </w:rPr>
          <w:t xml:space="preserve">http://irep.iium.edu.my/102870</w:t>
        </w:r>
      </w:hyperlink>
      <w:r w:rsidDel="00000000" w:rsidR="00000000" w:rsidRPr="00000000">
        <w:rPr>
          <w:rtl w:val="0"/>
        </w:rPr>
      </w:r>
    </w:p>
    <w:p w:rsidR="00000000" w:rsidDel="00000000" w:rsidP="00000000" w:rsidRDefault="00000000" w:rsidRPr="00000000" w14:paraId="000003E0">
      <w:pPr>
        <w:ind w:left="720" w:hanging="720"/>
        <w:jc w:val="both"/>
        <w:rPr>
          <w:sz w:val="22"/>
          <w:szCs w:val="22"/>
        </w:rPr>
      </w:pPr>
      <w:r w:rsidDel="00000000" w:rsidR="00000000" w:rsidRPr="00000000">
        <w:rPr>
          <w:sz w:val="22"/>
          <w:szCs w:val="22"/>
          <w:rtl w:val="0"/>
        </w:rPr>
        <w:t xml:space="preserve">Vassilopoulos, S. P., &amp; Banerjee, R. (2010). Social interaction anxiety and the discounting of positive interpersonal events. </w:t>
      </w:r>
      <w:r w:rsidDel="00000000" w:rsidR="00000000" w:rsidRPr="00000000">
        <w:rPr>
          <w:i w:val="1"/>
          <w:sz w:val="22"/>
          <w:szCs w:val="22"/>
          <w:rtl w:val="0"/>
        </w:rPr>
        <w:t xml:space="preserve">Behavioural and Cognitive Psychotherapy, 38</w:t>
      </w:r>
      <w:r w:rsidDel="00000000" w:rsidR="00000000" w:rsidRPr="00000000">
        <w:rPr>
          <w:sz w:val="22"/>
          <w:szCs w:val="22"/>
          <w:rtl w:val="0"/>
        </w:rPr>
        <w:t xml:space="preserve">(5), 597–609. </w:t>
      </w:r>
      <w:hyperlink r:id="rId79">
        <w:r w:rsidDel="00000000" w:rsidR="00000000" w:rsidRPr="00000000">
          <w:rPr>
            <w:color w:val="0000ff"/>
            <w:sz w:val="22"/>
            <w:szCs w:val="22"/>
            <w:u w:val="single"/>
            <w:rtl w:val="0"/>
          </w:rPr>
          <w:t xml:space="preserve">https://doi.org/10.1017/S1352465810000433</w:t>
        </w:r>
      </w:hyperlink>
      <w:r w:rsidDel="00000000" w:rsidR="00000000" w:rsidRPr="00000000">
        <w:rPr>
          <w:rtl w:val="0"/>
        </w:rPr>
      </w:r>
    </w:p>
    <w:p w:rsidR="00000000" w:rsidDel="00000000" w:rsidP="00000000" w:rsidRDefault="00000000" w:rsidRPr="00000000" w14:paraId="000003E1">
      <w:pPr>
        <w:ind w:left="720" w:hanging="720"/>
        <w:jc w:val="both"/>
        <w:rPr>
          <w:sz w:val="22"/>
          <w:szCs w:val="22"/>
        </w:rPr>
      </w:pPr>
      <w:r w:rsidDel="00000000" w:rsidR="00000000" w:rsidRPr="00000000">
        <w:rPr>
          <w:sz w:val="22"/>
          <w:szCs w:val="22"/>
          <w:rtl w:val="0"/>
        </w:rPr>
        <w:t xml:space="preserve">Vaterlaus, J. M., Spruance, L. A., Frantz, K., &amp; Kruger, J. S. (2019). College student television binge watching: Conceptualisation, gratifications, and perceived consequences. </w:t>
      </w:r>
      <w:r w:rsidDel="00000000" w:rsidR="00000000" w:rsidRPr="00000000">
        <w:rPr>
          <w:i w:val="1"/>
          <w:sz w:val="22"/>
          <w:szCs w:val="22"/>
          <w:rtl w:val="0"/>
        </w:rPr>
        <w:t xml:space="preserve">The Social Science Journal, 56</w:t>
      </w:r>
      <w:r w:rsidDel="00000000" w:rsidR="00000000" w:rsidRPr="00000000">
        <w:rPr>
          <w:sz w:val="22"/>
          <w:szCs w:val="22"/>
          <w:rtl w:val="0"/>
        </w:rPr>
        <w:t xml:space="preserve">(4), 470-479. </w:t>
      </w:r>
      <w:hyperlink r:id="rId80">
        <w:r w:rsidDel="00000000" w:rsidR="00000000" w:rsidRPr="00000000">
          <w:rPr>
            <w:color w:val="0000ff"/>
            <w:sz w:val="22"/>
            <w:szCs w:val="22"/>
            <w:u w:val="single"/>
            <w:rtl w:val="0"/>
          </w:rPr>
          <w:t xml:space="preserve">https://doi.org/10.1016/j.soscij.2018.10.004</w:t>
        </w:r>
      </w:hyperlink>
      <w:r w:rsidDel="00000000" w:rsidR="00000000" w:rsidRPr="00000000">
        <w:rPr>
          <w:rtl w:val="0"/>
        </w:rPr>
      </w:r>
    </w:p>
    <w:p w:rsidR="00000000" w:rsidDel="00000000" w:rsidP="00000000" w:rsidRDefault="00000000" w:rsidRPr="00000000" w14:paraId="000003E2">
      <w:pPr>
        <w:ind w:left="720" w:hanging="720"/>
        <w:jc w:val="both"/>
        <w:rPr>
          <w:sz w:val="22"/>
          <w:szCs w:val="22"/>
        </w:rPr>
      </w:pPr>
      <w:r w:rsidDel="00000000" w:rsidR="00000000" w:rsidRPr="00000000">
        <w:rPr>
          <w:sz w:val="22"/>
          <w:szCs w:val="22"/>
          <w:rtl w:val="0"/>
        </w:rPr>
        <w:t xml:space="preserve">Wheeler, K. S. (2015). </w:t>
      </w:r>
      <w:r w:rsidDel="00000000" w:rsidR="00000000" w:rsidRPr="00000000">
        <w:rPr>
          <w:i w:val="1"/>
          <w:sz w:val="22"/>
          <w:szCs w:val="22"/>
          <w:rtl w:val="0"/>
        </w:rPr>
        <w:t xml:space="preserve">The Relationships between Television Viewing Behaviours, Attachment, Loneliness, Depression, and Psychological Well-Being</w:t>
      </w:r>
      <w:r w:rsidDel="00000000" w:rsidR="00000000" w:rsidRPr="00000000">
        <w:rPr>
          <w:sz w:val="22"/>
          <w:szCs w:val="22"/>
          <w:rtl w:val="0"/>
        </w:rPr>
        <w:t xml:space="preserve"> (Honors College Theses. 98, Georgia Southern University). </w:t>
      </w:r>
      <w:hyperlink r:id="rId81">
        <w:r w:rsidDel="00000000" w:rsidR="00000000" w:rsidRPr="00000000">
          <w:rPr>
            <w:color w:val="0000ff"/>
            <w:sz w:val="22"/>
            <w:szCs w:val="22"/>
            <w:u w:val="single"/>
            <w:rtl w:val="0"/>
          </w:rPr>
          <w:t xml:space="preserve">https://digitalcommons.georgiasouthern.edu/honors-theses/98</w:t>
        </w:r>
      </w:hyperlink>
      <w:r w:rsidDel="00000000" w:rsidR="00000000" w:rsidRPr="00000000">
        <w:rPr>
          <w:rtl w:val="0"/>
        </w:rPr>
      </w:r>
    </w:p>
    <w:p w:rsidR="00000000" w:rsidDel="00000000" w:rsidP="00000000" w:rsidRDefault="00000000" w:rsidRPr="00000000" w14:paraId="000003E3">
      <w:pPr>
        <w:ind w:left="720" w:hanging="720"/>
        <w:jc w:val="both"/>
        <w:rPr>
          <w:sz w:val="22"/>
          <w:szCs w:val="22"/>
        </w:rPr>
      </w:pPr>
      <w:r w:rsidDel="00000000" w:rsidR="00000000" w:rsidRPr="00000000">
        <w:rPr>
          <w:sz w:val="22"/>
          <w:szCs w:val="22"/>
          <w:rtl w:val="0"/>
        </w:rPr>
        <w:t xml:space="preserve">Wolitzky-Taylor, K., &amp; LeBeau, R. (2023). Recent advances in the understanding and psychological treatment of social anxiety disorder. </w:t>
      </w:r>
      <w:r w:rsidDel="00000000" w:rsidR="00000000" w:rsidRPr="00000000">
        <w:rPr>
          <w:i w:val="1"/>
          <w:sz w:val="22"/>
          <w:szCs w:val="22"/>
          <w:rtl w:val="0"/>
        </w:rPr>
        <w:t xml:space="preserve">Faculty Reviews, 12,</w:t>
      </w:r>
      <w:r w:rsidDel="00000000" w:rsidR="00000000" w:rsidRPr="00000000">
        <w:rPr>
          <w:sz w:val="22"/>
          <w:szCs w:val="22"/>
          <w:rtl w:val="0"/>
        </w:rPr>
        <w:t xml:space="preserve"> 8. </w:t>
      </w:r>
      <w:hyperlink r:id="rId82">
        <w:r w:rsidDel="00000000" w:rsidR="00000000" w:rsidRPr="00000000">
          <w:rPr>
            <w:color w:val="0000ff"/>
            <w:sz w:val="22"/>
            <w:szCs w:val="22"/>
            <w:u w:val="single"/>
            <w:rtl w:val="0"/>
          </w:rPr>
          <w:t xml:space="preserve">https://doi.org/10.12703/r/12-8</w:t>
        </w:r>
      </w:hyperlink>
      <w:r w:rsidDel="00000000" w:rsidR="00000000" w:rsidRPr="00000000">
        <w:rPr>
          <w:rtl w:val="0"/>
        </w:rPr>
      </w:r>
    </w:p>
    <w:p w:rsidR="00000000" w:rsidDel="00000000" w:rsidP="00000000" w:rsidRDefault="00000000" w:rsidRPr="00000000" w14:paraId="000003E4">
      <w:pPr>
        <w:ind w:left="720" w:hanging="720"/>
        <w:jc w:val="both"/>
        <w:rPr>
          <w:sz w:val="22"/>
          <w:szCs w:val="22"/>
        </w:rPr>
      </w:pPr>
      <w:r w:rsidDel="00000000" w:rsidR="00000000" w:rsidRPr="00000000">
        <w:rPr>
          <w:sz w:val="22"/>
          <w:szCs w:val="22"/>
          <w:rtl w:val="0"/>
        </w:rPr>
        <w:t xml:space="preserve">Wong, S. S., Wong, C. C., Ng, K. W., Bostanudin, M. F., &amp; Tan, S. F. (2023). Depression, anxiety, and stress among university students in Selangor, Malaysia, during COVID-19 pandemics and their associated factors. </w:t>
      </w:r>
      <w:r w:rsidDel="00000000" w:rsidR="00000000" w:rsidRPr="00000000">
        <w:rPr>
          <w:i w:val="1"/>
          <w:sz w:val="22"/>
          <w:szCs w:val="22"/>
          <w:rtl w:val="0"/>
        </w:rPr>
        <w:t xml:space="preserve">PloS One, 18</w:t>
      </w:r>
      <w:r w:rsidDel="00000000" w:rsidR="00000000" w:rsidRPr="00000000">
        <w:rPr>
          <w:sz w:val="22"/>
          <w:szCs w:val="22"/>
          <w:rtl w:val="0"/>
        </w:rPr>
        <w:t xml:space="preserve">(1), e0280680. </w:t>
      </w:r>
      <w:hyperlink r:id="rId83">
        <w:r w:rsidDel="00000000" w:rsidR="00000000" w:rsidRPr="00000000">
          <w:rPr>
            <w:color w:val="0000ff"/>
            <w:sz w:val="22"/>
            <w:szCs w:val="22"/>
            <w:u w:val="single"/>
            <w:rtl w:val="0"/>
          </w:rPr>
          <w:t xml:space="preserve">https://doi.org/10.1371/journal.pone.0280680</w:t>
        </w:r>
      </w:hyperlink>
      <w:r w:rsidDel="00000000" w:rsidR="00000000" w:rsidRPr="00000000">
        <w:rPr>
          <w:rtl w:val="0"/>
        </w:rPr>
      </w:r>
    </w:p>
    <w:p w:rsidR="00000000" w:rsidDel="00000000" w:rsidP="00000000" w:rsidRDefault="00000000" w:rsidRPr="00000000" w14:paraId="000003E5">
      <w:pPr>
        <w:ind w:left="720" w:hanging="720"/>
        <w:jc w:val="both"/>
        <w:rPr>
          <w:sz w:val="22"/>
          <w:szCs w:val="22"/>
        </w:rPr>
        <w:sectPr>
          <w:type w:val="continuous"/>
          <w:pgSz w:h="16840" w:w="11907" w:orient="portrait"/>
          <w:pgMar w:bottom="1758" w:top="1009" w:left="851" w:right="851" w:header="851" w:footer="1049"/>
          <w:pgNumType w:start="1"/>
          <w:titlePg w:val="1"/>
        </w:sectPr>
      </w:pPr>
      <w:r w:rsidDel="00000000" w:rsidR="00000000" w:rsidRPr="00000000">
        <w:rPr>
          <w:sz w:val="22"/>
          <w:szCs w:val="22"/>
          <w:rtl w:val="0"/>
        </w:rPr>
        <w:t xml:space="preserve">Zumrah, A. R., &amp; Mohd Nor, N. H. (2015). Stres dalam kalangan mahasiswa institusi pengajian tinggi Islam di Malaysia. </w:t>
      </w:r>
      <w:r w:rsidDel="00000000" w:rsidR="00000000" w:rsidRPr="00000000">
        <w:rPr>
          <w:i w:val="1"/>
          <w:sz w:val="22"/>
          <w:szCs w:val="22"/>
          <w:rtl w:val="0"/>
        </w:rPr>
        <w:t xml:space="preserve">Al-’Abqari: Journal of Islamic Social Sciences and Humanities, 5,</w:t>
      </w:r>
      <w:r w:rsidDel="00000000" w:rsidR="00000000" w:rsidRPr="00000000">
        <w:rPr>
          <w:sz w:val="22"/>
          <w:szCs w:val="22"/>
          <w:rtl w:val="0"/>
        </w:rPr>
        <w:t xml:space="preserve"> 39-53. </w:t>
      </w:r>
      <w:hyperlink r:id="rId84">
        <w:r w:rsidDel="00000000" w:rsidR="00000000" w:rsidRPr="00000000">
          <w:rPr>
            <w:color w:val="0000ff"/>
            <w:sz w:val="22"/>
            <w:szCs w:val="22"/>
            <w:u w:val="single"/>
            <w:rtl w:val="0"/>
          </w:rPr>
          <w:t xml:space="preserve">https://oarep.usim.edu.my/jspui/handle/123456789/5875</w:t>
        </w:r>
      </w:hyperlink>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sectPr>
      <w:headerReference r:id="rId85" w:type="default"/>
      <w:type w:val="continuous"/>
      <w:pgSz w:h="16840" w:w="11907" w:orient="portrait"/>
      <w:pgMar w:bottom="1758" w:top="1009" w:left="851" w:right="851" w:header="851" w:footer="1049"/>
      <w:cols w:equalWidth="0" w:num="2">
        <w:col w:space="227" w:w="4989"/>
        <w:col w:space="0" w:w="498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2">
    <w:pPr>
      <w:jc w:val="right"/>
      <w:rPr>
        <w:sz w:val="14"/>
        <w:szCs w:val="14"/>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sz w:val="14"/>
        <w:szCs w:val="14"/>
        <w:rtl w:val="0"/>
      </w:rPr>
      <w:t xml:space="preserve"> </w:t>
    </w:r>
  </w:p>
  <w:p w:rsidR="00000000" w:rsidDel="00000000" w:rsidP="00000000" w:rsidRDefault="00000000" w:rsidRPr="00000000" w14:paraId="000003F3">
    <w:pPr>
      <w:jc w:val="right"/>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4">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-88899</wp:posOffset>
              </wp:positionV>
              <wp:extent cx="4857750" cy="723900"/>
              <wp:effectExtent b="0" l="0" r="0" t="0"/>
              <wp:wrapNone/>
              <wp:docPr id="1" name=""/>
              <a:graphic>
                <a:graphicData uri="http://schemas.microsoft.com/office/word/2010/wordprocessingShape">
                  <wps:wsp>
                    <wps:cNvSpPr/>
                    <wps:cNvPr id="2" name="Shape 2"/>
                    <wps:spPr>
                      <a:xfrm>
                        <a:off x="2921888" y="3422813"/>
                        <a:ext cx="4848225" cy="7143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Journal of Communication, Language and Culture (2024)    1-20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r w:rsidDel="00000000" w:rsidR="00000000" w:rsidRPr="00000000">
                            <w:rPr>
                              <w:rFonts w:ascii="Book Antiqua" w:cs="Book Antiqua" w:eastAsia="Book Antiqua" w:hAnsi="Book Antiqua"/>
                              <w:b w:val="0"/>
                              <w:i w:val="0"/>
                              <w:smallCaps w:val="0"/>
                              <w:strike w:val="0"/>
                              <w:color w:val="000000"/>
                              <w:sz w:val="16"/>
                              <w:vertAlign w:val="baseline"/>
                            </w:rPr>
                            <w:t xml:space="preserve">2024.4.1.1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u w:val="singl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-88899</wp:posOffset>
              </wp:positionV>
              <wp:extent cx="4857750" cy="7239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857750" cy="723900"/>
                      </a:xfrm>
                      <a:prstGeom prst="rect"/>
                      <a:ln/>
                    </pic:spPr>
                  </pic:pic>
                </a:graphicData>
              </a:graphic>
            </wp:anchor>
          </w:drawing>
        </mc:Fallback>
      </mc:AlternateContent>
    </w:r>
  </w:p>
  <w:p w:rsidR="00000000" w:rsidDel="00000000" w:rsidP="00000000" w:rsidRDefault="00000000" w:rsidRPr="00000000" w14:paraId="000003F5">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7">
    <w:pPr>
      <w:jc w:val="right"/>
      <w:rPr>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3E8">
    <w:pPr>
      <w:ind w:left="7920" w:firstLine="0"/>
      <w:jc w:val="center"/>
      <w:rPr>
        <w:b w:val="1"/>
        <w:i w:val="1"/>
        <w:sz w:val="16"/>
        <w:szCs w:val="16"/>
      </w:rPr>
    </w:pPr>
    <w:r w:rsidDel="00000000" w:rsidR="00000000" w:rsidRPr="00000000">
      <w:rPr>
        <w:b w:val="1"/>
        <w:i w:val="1"/>
        <w:sz w:val="16"/>
        <w:szCs w:val="16"/>
        <w:rtl w:val="0"/>
      </w:rPr>
      <w:t xml:space="preserve">       Vol 4, Issue 1, January 2024</w:t>
    </w:r>
  </w:p>
  <w:p w:rsidR="00000000" w:rsidDel="00000000" w:rsidP="00000000" w:rsidRDefault="00000000" w:rsidRPr="00000000" w14:paraId="000003E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A">
    <w:pPr>
      <w:ind w:left="5040" w:firstLine="0"/>
      <w:jc w:val="right"/>
      <w:rPr>
        <w:b w:val="1"/>
        <w:i w:val="1"/>
        <w:sz w:val="16"/>
        <w:szCs w:val="16"/>
      </w:rPr>
    </w:pPr>
    <w:bookmarkStart w:colFirst="0" w:colLast="0" w:name="_1fob9te" w:id="2"/>
    <w:bookmarkEnd w:id="2"/>
    <w:r w:rsidDel="00000000" w:rsidR="00000000" w:rsidRPr="00000000">
      <w:rPr>
        <w:b w:val="1"/>
        <w:i w:val="1"/>
        <w:sz w:val="16"/>
        <w:szCs w:val="16"/>
        <w:rtl w:val="0"/>
      </w:rPr>
      <w:t xml:space="preserve">Journal of Communication, Language and Culture                                                                                                                                                                     Vol 4, Issue 1, January 2024</w:t>
    </w:r>
  </w:p>
  <w:p w:rsidR="00000000" w:rsidDel="00000000" w:rsidP="00000000" w:rsidRDefault="00000000" w:rsidRPr="00000000" w14:paraId="000003EB">
    <w:pPr>
      <w:ind w:left="5040"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C">
    <w:pPr>
      <w:spacing w:line="360" w:lineRule="auto"/>
      <w:rPr/>
    </w:pPr>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3ED">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3EE">
    <w:pPr>
      <w:rPr>
        <w:color w:val="999999"/>
        <w:sz w:val="18"/>
        <w:szCs w:val="18"/>
      </w:rPr>
    </w:pPr>
    <w:r w:rsidDel="00000000" w:rsidR="00000000" w:rsidRPr="00000000">
      <w:rPr>
        <w:rtl w:val="0"/>
      </w:rPr>
      <w:tab/>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Paper Title</w:t>
    </w:r>
  </w:p>
  <w:p w:rsidR="00000000" w:rsidDel="00000000" w:rsidP="00000000" w:rsidRDefault="00000000" w:rsidRPr="00000000" w14:paraId="000003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3">
    <w:basedOn w:val="TableNormal"/>
    <w:pPr>
      <w:widowControl w:val="0"/>
      <w:jc w:val="both"/>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4">
    <w:basedOn w:val="TableNormal"/>
    <w:pPr>
      <w:widowControl w:val="0"/>
      <w:jc w:val="both"/>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5">
    <w:basedOn w:val="TableNormal"/>
    <w:pPr>
      <w:widowControl w:val="0"/>
      <w:jc w:val="both"/>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108/EBR-11-2018-0203" TargetMode="External"/><Relationship Id="rId84" Type="http://schemas.openxmlformats.org/officeDocument/2006/relationships/hyperlink" Target="https://oarep.usim.edu.my/jspui/handle/123456789/5875" TargetMode="External"/><Relationship Id="rId83" Type="http://schemas.openxmlformats.org/officeDocument/2006/relationships/hyperlink" Target="https://doi.org/10.1371/journal.pone.0280680" TargetMode="External"/><Relationship Id="rId42" Type="http://schemas.openxmlformats.org/officeDocument/2006/relationships/hyperlink" Target="https://doi.org/10.5210/fm.v22i19.7729" TargetMode="External"/><Relationship Id="rId41" Type="http://schemas.openxmlformats.org/officeDocument/2006/relationships/hyperlink" Target="https://doi.org/10.13140/RG.2.2.24690.25288" TargetMode="External"/><Relationship Id="rId85" Type="http://schemas.openxmlformats.org/officeDocument/2006/relationships/header" Target="header4.xml"/><Relationship Id="rId44" Type="http://schemas.openxmlformats.org/officeDocument/2006/relationships/hyperlink" Target="https://www.researchgate.net/publication/344027121" TargetMode="External"/><Relationship Id="rId43" Type="http://schemas.openxmlformats.org/officeDocument/2006/relationships/hyperlink" Target="https://doi.org/10.1080/00050067.2021.1890977" TargetMode="External"/><Relationship Id="rId46" Type="http://schemas.openxmlformats.org/officeDocument/2006/relationships/hyperlink" Target="https://doi.org/10.1016/j.ijans.2021.100352" TargetMode="External"/><Relationship Id="rId45" Type="http://schemas.openxmlformats.org/officeDocument/2006/relationships/hyperlink" Target="http://www.jstor.org/stable/2747854" TargetMode="External"/><Relationship Id="rId80" Type="http://schemas.openxmlformats.org/officeDocument/2006/relationships/hyperlink" Target="https://doi.org/10.1016/j.soscij.2018.10.004" TargetMode="External"/><Relationship Id="rId82" Type="http://schemas.openxmlformats.org/officeDocument/2006/relationships/hyperlink" Target="https://doi.org/10.12703/r/12-8" TargetMode="External"/><Relationship Id="rId81" Type="http://schemas.openxmlformats.org/officeDocument/2006/relationships/hyperlink" Target="https://digitalcommons.georgiasouthern.edu/honors-theses/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48" Type="http://schemas.openxmlformats.org/officeDocument/2006/relationships/hyperlink" Target="https://doi.org/10.1007/s10734-020-00547-w" TargetMode="External"/><Relationship Id="rId47" Type="http://schemas.openxmlformats.org/officeDocument/2006/relationships/hyperlink" Target="https://doi.org/10.1016/j.chb.2017.11.025" TargetMode="External"/><Relationship Id="rId49" Type="http://schemas.openxmlformats.org/officeDocument/2006/relationships/hyperlink" Target="https://eric.ed.gov/?id=EJ1348157" TargetMode="External"/><Relationship Id="rId5" Type="http://schemas.openxmlformats.org/officeDocument/2006/relationships/styles" Target="styles.xml"/><Relationship Id="rId6" Type="http://schemas.openxmlformats.org/officeDocument/2006/relationships/hyperlink" Target="mailto:syafiqaahrosli267@gmail.com" TargetMode="External"/><Relationship Id="rId7" Type="http://schemas.openxmlformats.org/officeDocument/2006/relationships/hyperlink" Target="mailto:nordianamm@iium.edu.my" TargetMode="External"/><Relationship Id="rId8" Type="http://schemas.openxmlformats.org/officeDocument/2006/relationships/header" Target="header1.xml"/><Relationship Id="rId73" Type="http://schemas.openxmlformats.org/officeDocument/2006/relationships/hyperlink" Target="https://doi.org/10.1177/1354856517750365" TargetMode="External"/><Relationship Id="rId72" Type="http://schemas.openxmlformats.org/officeDocument/2006/relationships/hyperlink" Target="https://purl.utwente.nl/essays/75171" TargetMode="External"/><Relationship Id="rId31" Type="http://schemas.openxmlformats.org/officeDocument/2006/relationships/hyperlink" Target="https://doi.org/10.1007/978-3-030-39903-0_215" TargetMode="External"/><Relationship Id="rId75" Type="http://schemas.openxmlformats.org/officeDocument/2006/relationships/hyperlink" Target="https://doi.org/10.3390/ijerph18031168" TargetMode="External"/><Relationship Id="rId30" Type="http://schemas.openxmlformats.org/officeDocument/2006/relationships/hyperlink" Target="https://doi.org/10.1037/ppm0000187" TargetMode="External"/><Relationship Id="rId74" Type="http://schemas.openxmlformats.org/officeDocument/2006/relationships/hyperlink" Target="https://doi.org/10.1159/000506307" TargetMode="External"/><Relationship Id="rId33" Type="http://schemas.openxmlformats.org/officeDocument/2006/relationships/hyperlink" Target="https://doi.org/10.3389/fpsyg.2021.785970" TargetMode="External"/><Relationship Id="rId77" Type="http://schemas.openxmlformats.org/officeDocument/2006/relationships/hyperlink" Target="https://doi.org/10.1080/15456870.2018.1517765" TargetMode="External"/><Relationship Id="rId32" Type="http://schemas.openxmlformats.org/officeDocument/2006/relationships/hyperlink" Target="https://doi.org/10.3390/bs11020027" TargetMode="External"/><Relationship Id="rId76" Type="http://schemas.openxmlformats.org/officeDocument/2006/relationships/hyperlink" Target="https://core.ac.uk/download/pdf/229163703.pdf" TargetMode="External"/><Relationship Id="rId35" Type="http://schemas.openxmlformats.org/officeDocument/2006/relationships/hyperlink" Target="https://techjury.net/blog/amazon-prime-statistics" TargetMode="External"/><Relationship Id="rId79" Type="http://schemas.openxmlformats.org/officeDocument/2006/relationships/hyperlink" Target="https://doi.org/10.1017/S1352465810000433" TargetMode="External"/><Relationship Id="rId34" Type="http://schemas.openxmlformats.org/officeDocument/2006/relationships/hyperlink" Target="https://doi.org/10.5210/fm.v24i12.9667" TargetMode="External"/><Relationship Id="rId78" Type="http://schemas.openxmlformats.org/officeDocument/2006/relationships/hyperlink" Target="http://irep.iium.edu.my/102870" TargetMode="External"/><Relationship Id="rId71" Type="http://schemas.openxmlformats.org/officeDocument/2006/relationships/hyperlink" Target="https://doi.org/10.3389/fpsyt.2021.743870" TargetMode="External"/><Relationship Id="rId70" Type="http://schemas.openxmlformats.org/officeDocument/2006/relationships/hyperlink" Target="https://doi.org/10.5114/hpr.2019.83025" TargetMode="External"/><Relationship Id="rId37" Type="http://schemas.openxmlformats.org/officeDocument/2006/relationships/hyperlink" Target="https://doi.org/10.1080/08824096.2018.1525347" TargetMode="External"/><Relationship Id="rId36" Type="http://schemas.openxmlformats.org/officeDocument/2006/relationships/hyperlink" Target="https://techjury.net/blog/disney-plus-statistics" TargetMode="External"/><Relationship Id="rId39" Type="http://schemas.openxmlformats.org/officeDocument/2006/relationships/hyperlink" Target="https://doi.org/10.1207/s15327906mbr2603_7" TargetMode="External"/><Relationship Id="rId38" Type="http://schemas.openxmlformats.org/officeDocument/2006/relationships/hyperlink" Target="https://doi.org/10.1002/(SICI)1520-6793(199602)13:2%3c171::AID-MAR4%3e3.0.CO;2-C" TargetMode="External"/><Relationship Id="rId62" Type="http://schemas.openxmlformats.org/officeDocument/2006/relationships/hyperlink" Target="https://idealogyjournal.com/ojs/index.php/idealogy/issue/view/7" TargetMode="External"/><Relationship Id="rId61" Type="http://schemas.openxmlformats.org/officeDocument/2006/relationships/hyperlink" Target="about:blank" TargetMode="External"/><Relationship Id="rId20" Type="http://schemas.openxmlformats.org/officeDocument/2006/relationships/hyperlink" Target="https://doi.org/10.12758/mda.2021.08" TargetMode="External"/><Relationship Id="rId64" Type="http://schemas.openxmlformats.org/officeDocument/2006/relationships/hyperlink" Target="https://doi.org/10.5897/JMCS2018.0605" TargetMode="External"/><Relationship Id="rId63" Type="http://schemas.openxmlformats.org/officeDocument/2006/relationships/hyperlink" Target="https://doi.org/10.2147/PRBM.S328416" TargetMode="External"/><Relationship Id="rId22" Type="http://schemas.openxmlformats.org/officeDocument/2006/relationships/hyperlink" Target="https://doi.org/10.33093/jclc.2022.2.2.1" TargetMode="External"/><Relationship Id="rId66" Type="http://schemas.openxmlformats.org/officeDocument/2006/relationships/hyperlink" Target="https://www.demandsage.com/netflix-subscribers" TargetMode="External"/><Relationship Id="rId21" Type="http://schemas.openxmlformats.org/officeDocument/2006/relationships/hyperlink" Target="https://doi.org/10.1177/13548565198908" TargetMode="External"/><Relationship Id="rId65" Type="http://schemas.openxmlformats.org/officeDocument/2006/relationships/hyperlink" Target="https://doi.org/10.1016/j.abrep.2021.100356" TargetMode="External"/><Relationship Id="rId24" Type="http://schemas.openxmlformats.org/officeDocument/2006/relationships/hyperlink" Target="https://das.nh.gov/wellness/docs/percieved%20stress%20scale.pdf" TargetMode="External"/><Relationship Id="rId68" Type="http://schemas.openxmlformats.org/officeDocument/2006/relationships/hyperlink" Target="https://eric.ed.gov/?id=ED568119" TargetMode="External"/><Relationship Id="rId23" Type="http://schemas.openxmlformats.org/officeDocument/2006/relationships/hyperlink" Target="https://doi.org/10.24251/HICSS.2019.510" TargetMode="External"/><Relationship Id="rId67" Type="http://schemas.openxmlformats.org/officeDocument/2006/relationships/hyperlink" Target="https://doi.org/10.1207/s15327752jpa6601_2" TargetMode="External"/><Relationship Id="rId60" Type="http://schemas.openxmlformats.org/officeDocument/2006/relationships/hyperlink" Target="https://doi.org/10.1016/j.chb.2016.03.084" TargetMode="External"/><Relationship Id="rId26" Type="http://schemas.openxmlformats.org/officeDocument/2006/relationships/hyperlink" Target="https://doi.org/10.3390/ijerph15091865" TargetMode="External"/><Relationship Id="rId25" Type="http://schemas.openxmlformats.org/officeDocument/2006/relationships/hyperlink" Target="https://pressbooks.rampages.us/msw-research" TargetMode="External"/><Relationship Id="rId69" Type="http://schemas.openxmlformats.org/officeDocument/2006/relationships/hyperlink" Target="https://doi.org/10.3390/ijerph17124469" TargetMode="External"/><Relationship Id="rId28" Type="http://schemas.openxmlformats.org/officeDocument/2006/relationships/hyperlink" Target="https://doi.org/10.3390/socsci8010019" TargetMode="External"/><Relationship Id="rId27" Type="http://schemas.openxmlformats.org/officeDocument/2006/relationships/hyperlink" Target="https://doi.org/10.1016/j.psychres.2020.113089" TargetMode="External"/><Relationship Id="rId29" Type="http://schemas.openxmlformats.org/officeDocument/2006/relationships/hyperlink" Target="https://doi.org/10.1007/s40429-020-00299-8" TargetMode="External"/><Relationship Id="rId51" Type="http://schemas.openxmlformats.org/officeDocument/2006/relationships/hyperlink" Target="https://purl.utwente.nl/essays/81511" TargetMode="External"/><Relationship Id="rId50" Type="http://schemas.openxmlformats.org/officeDocument/2006/relationships/hyperlink" Target="about:blank" TargetMode="External"/><Relationship Id="rId53" Type="http://schemas.openxmlformats.org/officeDocument/2006/relationships/hyperlink" Target="https://shorturl.at/cnuZ1" TargetMode="External"/><Relationship Id="rId52" Type="http://schemas.openxmlformats.org/officeDocument/2006/relationships/hyperlink" Target="https://www.macmillandictionaryblog.com/binge-watching" TargetMode="External"/><Relationship Id="rId11" Type="http://schemas.openxmlformats.org/officeDocument/2006/relationships/footer" Target="footer3.xml"/><Relationship Id="rId55" Type="http://schemas.openxmlformats.org/officeDocument/2006/relationships/hyperlink" Target="https://www.thestar.com.my/news/nation/2021/09/22/malaysia-has-28-million-social-media-users-as-of-january-2021-says-comms-ministry-sec-gen" TargetMode="External"/><Relationship Id="rId10" Type="http://schemas.openxmlformats.org/officeDocument/2006/relationships/header" Target="header2.xml"/><Relationship Id="rId54" Type="http://schemas.openxmlformats.org/officeDocument/2006/relationships/hyperlink" Target="https://doi.org/10.1016/S0005-7967(97)10031-6" TargetMode="External"/><Relationship Id="rId13" Type="http://schemas.openxmlformats.org/officeDocument/2006/relationships/footer" Target="footer1.xml"/><Relationship Id="rId57" Type="http://schemas.openxmlformats.org/officeDocument/2006/relationships/hyperlink" Target="https://doi.org/10.1089/tmj.2018.0316" TargetMode="External"/><Relationship Id="rId12" Type="http://schemas.openxmlformats.org/officeDocument/2006/relationships/footer" Target="footer2.xml"/><Relationship Id="rId56" Type="http://schemas.openxmlformats.org/officeDocument/2006/relationships/hyperlink" Target="https://doi.org/10.3390/socsci8010010" TargetMode="External"/><Relationship Id="rId15" Type="http://schemas.openxmlformats.org/officeDocument/2006/relationships/image" Target="media/image3.png"/><Relationship Id="rId59" Type="http://schemas.openxmlformats.org/officeDocument/2006/relationships/hyperlink" Target="https://doi.org/10.1108/YC-07-2017-00707" TargetMode="External"/><Relationship Id="rId14" Type="http://schemas.openxmlformats.org/officeDocument/2006/relationships/image" Target="media/image4.png"/><Relationship Id="rId58" Type="http://schemas.openxmlformats.org/officeDocument/2006/relationships/hyperlink" Target="https://doi.org/10.1002/mar.21353" TargetMode="External"/><Relationship Id="rId17" Type="http://schemas.openxmlformats.org/officeDocument/2006/relationships/hyperlink" Target="https://pubs.iscience.in/journal/index.php/ijss/article/view/891" TargetMode="External"/><Relationship Id="rId16" Type="http://schemas.openxmlformats.org/officeDocument/2006/relationships/hyperlink" Target="https://doi.org/10.1111/jsr.13747" TargetMode="External"/><Relationship Id="rId19" Type="http://schemas.openxmlformats.org/officeDocument/2006/relationships/hyperlink" Target="https://doi.org/10.5114/hpr.2021.109550" TargetMode="External"/><Relationship Id="rId18" Type="http://schemas.openxmlformats.org/officeDocument/2006/relationships/hyperlink" Target="https://doi.org/10.3389/fpubh.2020.6232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